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F4F6" w14:textId="60ECC11B" w:rsidR="00BE3A07" w:rsidRPr="00350378" w:rsidRDefault="006E79DC" w:rsidP="00A20E23">
      <w:pPr>
        <w:pStyle w:val="Title"/>
        <w:rPr>
          <w:rFonts w:ascii="Optima" w:hAnsi="Optima" w:cs="Times New Roman"/>
        </w:rPr>
      </w:pPr>
      <w:r w:rsidRPr="00350378">
        <w:rPr>
          <w:rFonts w:ascii="Optima" w:hAnsi="Optima" w:cs="Times New Roman"/>
        </w:rPr>
        <w:t xml:space="preserve">Victoria’s </w:t>
      </w:r>
      <w:r w:rsidR="00FE477B" w:rsidRPr="00350378">
        <w:rPr>
          <w:rFonts w:ascii="Optima" w:hAnsi="Optima" w:cs="Times New Roman"/>
        </w:rPr>
        <w:t>“</w:t>
      </w:r>
      <w:r w:rsidRPr="00350378">
        <w:rPr>
          <w:rFonts w:ascii="Optima" w:hAnsi="Optima" w:cs="Times New Roman"/>
        </w:rPr>
        <w:t>October surprises</w:t>
      </w:r>
      <w:r w:rsidR="00FE477B" w:rsidRPr="00350378">
        <w:rPr>
          <w:rFonts w:ascii="Optima" w:hAnsi="Optima" w:cs="Times New Roman"/>
        </w:rPr>
        <w:t>”</w:t>
      </w:r>
      <w:r w:rsidRPr="00350378">
        <w:rPr>
          <w:rFonts w:ascii="Optima" w:hAnsi="Optima" w:cs="Times New Roman"/>
        </w:rPr>
        <w:t xml:space="preserve"> in building reforms</w:t>
      </w:r>
      <w:r w:rsidR="009F4F8A" w:rsidRPr="00350378">
        <w:rPr>
          <w:rFonts w:ascii="Optima" w:hAnsi="Optima" w:cs="Times New Roman"/>
        </w:rPr>
        <w:t>: not letting a crisis go to waste?</w:t>
      </w:r>
    </w:p>
    <w:p w14:paraId="6A8EEC0A" w14:textId="532A4AEF" w:rsidR="00C20A9E" w:rsidRPr="00350378" w:rsidRDefault="00C20A9E">
      <w:pPr>
        <w:rPr>
          <w:rFonts w:ascii="Times New Roman" w:hAnsi="Times New Roman" w:cs="Times New Roman"/>
        </w:rPr>
      </w:pPr>
    </w:p>
    <w:p w14:paraId="46455504" w14:textId="32893BA9" w:rsidR="00BC67B7" w:rsidRPr="00350378" w:rsidRDefault="00DC4E53" w:rsidP="00FE477B">
      <w:pPr>
        <w:rPr>
          <w:rFonts w:ascii="Times New Roman" w:hAnsi="Times New Roman" w:cs="Times New Roman"/>
          <w:i/>
          <w:iCs/>
          <w:sz w:val="28"/>
          <w:szCs w:val="28"/>
        </w:rPr>
      </w:pPr>
      <w:r w:rsidRPr="00350378">
        <w:rPr>
          <w:rFonts w:ascii="Times New Roman" w:hAnsi="Times New Roman" w:cs="Times New Roman"/>
          <w:b/>
          <w:bCs/>
          <w:i/>
          <w:iCs/>
          <w:sz w:val="28"/>
          <w:szCs w:val="28"/>
        </w:rPr>
        <w:t xml:space="preserve">Dr </w:t>
      </w:r>
      <w:r w:rsidR="00BC67B7" w:rsidRPr="00350378">
        <w:rPr>
          <w:rFonts w:ascii="Times New Roman" w:hAnsi="Times New Roman" w:cs="Times New Roman"/>
          <w:b/>
          <w:bCs/>
          <w:i/>
          <w:iCs/>
          <w:sz w:val="28"/>
          <w:szCs w:val="28"/>
        </w:rPr>
        <w:t>Matthew Bell</w:t>
      </w:r>
      <w:r w:rsidR="00160A49" w:rsidRPr="00350378">
        <w:rPr>
          <w:rFonts w:ascii="Times New Roman" w:hAnsi="Times New Roman" w:cs="Times New Roman"/>
          <w:sz w:val="28"/>
          <w:szCs w:val="28"/>
        </w:rPr>
        <w:t xml:space="preserve"> </w:t>
      </w:r>
      <w:r w:rsidR="00160A49" w:rsidRPr="00350378">
        <w:rPr>
          <w:rFonts w:ascii="Times New Roman" w:hAnsi="Times New Roman" w:cs="Times New Roman"/>
          <w:i/>
          <w:iCs/>
          <w:sz w:val="28"/>
          <w:szCs w:val="28"/>
        </w:rPr>
        <w:t>MELBOURNE LAW SCHOOL</w:t>
      </w:r>
    </w:p>
    <w:p w14:paraId="74A1B15F" w14:textId="4AAA5F56" w:rsidR="00BC67B7" w:rsidRPr="00350378" w:rsidRDefault="00BC67B7" w:rsidP="00BC67B7">
      <w:pPr>
        <w:rPr>
          <w:rFonts w:ascii="Times New Roman" w:hAnsi="Times New Roman" w:cs="Times New Roman"/>
        </w:rPr>
      </w:pPr>
    </w:p>
    <w:p w14:paraId="6D268199" w14:textId="77777777" w:rsidR="00FE65AF" w:rsidRPr="00350378" w:rsidRDefault="00FE65AF" w:rsidP="00BC67B7">
      <w:pPr>
        <w:rPr>
          <w:rFonts w:ascii="Times New Roman" w:hAnsi="Times New Roman" w:cs="Times New Roman"/>
        </w:rPr>
      </w:pPr>
    </w:p>
    <w:p w14:paraId="732C19EB" w14:textId="13EBD333" w:rsidR="006F522F" w:rsidRPr="00350378" w:rsidRDefault="006F522F" w:rsidP="006F522F">
      <w:pPr>
        <w:pStyle w:val="Heading1"/>
        <w:rPr>
          <w:rFonts w:ascii="Optima" w:hAnsi="Optima" w:cs="Times New Roman"/>
          <w:color w:val="000000" w:themeColor="text1"/>
        </w:rPr>
      </w:pPr>
      <w:r w:rsidRPr="00350378">
        <w:rPr>
          <w:rFonts w:ascii="Optima" w:hAnsi="Optima" w:cs="Times New Roman"/>
          <w:color w:val="000000" w:themeColor="text1"/>
        </w:rPr>
        <w:t xml:space="preserve">The </w:t>
      </w:r>
      <w:r w:rsidRPr="00350378">
        <w:rPr>
          <w:rFonts w:ascii="Optima" w:hAnsi="Optima" w:cs="Times New Roman"/>
          <w:color w:val="000000" w:themeColor="text1"/>
        </w:rPr>
        <w:t>“most significant reform to building industry regulation in decades”?</w:t>
      </w:r>
    </w:p>
    <w:p w14:paraId="227A976A" w14:textId="2D880B2B" w:rsidR="0021668F" w:rsidRPr="00350378" w:rsidRDefault="007A76B5" w:rsidP="00BC67B7">
      <w:pPr>
        <w:rPr>
          <w:rFonts w:ascii="Times New Roman" w:hAnsi="Times New Roman" w:cs="Times New Roman"/>
        </w:rPr>
      </w:pPr>
      <w:r w:rsidRPr="00350378">
        <w:rPr>
          <w:rFonts w:ascii="Times New Roman" w:hAnsi="Times New Roman" w:cs="Times New Roman"/>
        </w:rPr>
        <w:t xml:space="preserve">During October 2024, </w:t>
      </w:r>
      <w:r w:rsidR="00645FB8" w:rsidRPr="00350378">
        <w:rPr>
          <w:rFonts w:ascii="Times New Roman" w:hAnsi="Times New Roman" w:cs="Times New Roman"/>
        </w:rPr>
        <w:t xml:space="preserve">many people </w:t>
      </w:r>
      <w:r w:rsidRPr="00350378">
        <w:rPr>
          <w:rFonts w:ascii="Times New Roman" w:hAnsi="Times New Roman" w:cs="Times New Roman"/>
        </w:rPr>
        <w:t xml:space="preserve">in the Australian construction industry </w:t>
      </w:r>
      <w:r w:rsidR="00645FB8" w:rsidRPr="00350378">
        <w:rPr>
          <w:rFonts w:ascii="Times New Roman" w:hAnsi="Times New Roman" w:cs="Times New Roman"/>
        </w:rPr>
        <w:t xml:space="preserve">were understandably focused on </w:t>
      </w:r>
      <w:r w:rsidR="00ED743B" w:rsidRPr="00350378">
        <w:rPr>
          <w:rFonts w:ascii="Times New Roman" w:hAnsi="Times New Roman" w:cs="Times New Roman"/>
        </w:rPr>
        <w:t>events including the elections in</w:t>
      </w:r>
      <w:r w:rsidR="00645FB8" w:rsidRPr="00350378">
        <w:rPr>
          <w:rFonts w:ascii="Times New Roman" w:hAnsi="Times New Roman" w:cs="Times New Roman"/>
        </w:rPr>
        <w:t xml:space="preserve"> the United States</w:t>
      </w:r>
      <w:r w:rsidR="00ED743B" w:rsidRPr="00350378">
        <w:rPr>
          <w:rFonts w:ascii="Times New Roman" w:hAnsi="Times New Roman" w:cs="Times New Roman"/>
        </w:rPr>
        <w:t xml:space="preserve"> and Queensland. At that same time, however, changes </w:t>
      </w:r>
      <w:r w:rsidR="00C80980" w:rsidRPr="00350378">
        <w:rPr>
          <w:rFonts w:ascii="Times New Roman" w:hAnsi="Times New Roman" w:cs="Times New Roman"/>
        </w:rPr>
        <w:t>claimed</w:t>
      </w:r>
      <w:r w:rsidR="00ED743B" w:rsidRPr="00350378">
        <w:rPr>
          <w:rFonts w:ascii="Times New Roman" w:hAnsi="Times New Roman" w:cs="Times New Roman"/>
        </w:rPr>
        <w:t xml:space="preserve"> to be </w:t>
      </w:r>
      <w:r w:rsidR="00FE477B" w:rsidRPr="00350378">
        <w:rPr>
          <w:rFonts w:ascii="Times New Roman" w:hAnsi="Times New Roman" w:cs="Times New Roman"/>
        </w:rPr>
        <w:t>“</w:t>
      </w:r>
      <w:r w:rsidR="00ED743B" w:rsidRPr="00350378">
        <w:rPr>
          <w:rFonts w:ascii="Times New Roman" w:hAnsi="Times New Roman" w:cs="Times New Roman"/>
        </w:rPr>
        <w:t>the most significant reform to building industry regulation in decades</w:t>
      </w:r>
      <w:r w:rsidR="00FE477B" w:rsidRPr="00350378">
        <w:rPr>
          <w:rFonts w:ascii="Times New Roman" w:hAnsi="Times New Roman" w:cs="Times New Roman"/>
        </w:rPr>
        <w:t>”</w:t>
      </w:r>
      <w:r w:rsidR="00ED743B" w:rsidRPr="00350378">
        <w:rPr>
          <w:rFonts w:ascii="Times New Roman" w:hAnsi="Times New Roman" w:cs="Times New Roman"/>
        </w:rPr>
        <w:t xml:space="preserve"> were being </w:t>
      </w:r>
      <w:r w:rsidR="000F71FD" w:rsidRPr="00350378">
        <w:rPr>
          <w:rFonts w:ascii="Times New Roman" w:hAnsi="Times New Roman" w:cs="Times New Roman"/>
        </w:rPr>
        <w:t xml:space="preserve">announced in </w:t>
      </w:r>
      <w:r w:rsidRPr="00350378">
        <w:rPr>
          <w:rFonts w:ascii="Times New Roman" w:hAnsi="Times New Roman" w:cs="Times New Roman"/>
        </w:rPr>
        <w:t>Victoria</w:t>
      </w:r>
      <w:r w:rsidR="003C123E" w:rsidRPr="00350378">
        <w:rPr>
          <w:rFonts w:ascii="Times New Roman" w:hAnsi="Times New Roman" w:cs="Times New Roman"/>
        </w:rPr>
        <w:t xml:space="preserve"> under the </w:t>
      </w:r>
      <w:r w:rsidR="00C87CCD" w:rsidRPr="00350378">
        <w:rPr>
          <w:rFonts w:ascii="Times New Roman" w:hAnsi="Times New Roman" w:cs="Times New Roman"/>
        </w:rPr>
        <w:t>broader banner of a multi-</w:t>
      </w:r>
      <w:r w:rsidR="000F71FD" w:rsidRPr="00350378">
        <w:rPr>
          <w:rFonts w:ascii="Times New Roman" w:hAnsi="Times New Roman" w:cs="Times New Roman"/>
        </w:rPr>
        <w:t>pronged</w:t>
      </w:r>
      <w:r w:rsidR="00C87CCD" w:rsidRPr="00350378">
        <w:rPr>
          <w:rFonts w:ascii="Times New Roman" w:hAnsi="Times New Roman" w:cs="Times New Roman"/>
        </w:rPr>
        <w:t xml:space="preserve"> program designed to address the widely-perceived crisis in affordable housing across the state</w:t>
      </w:r>
      <w:r w:rsidRPr="00350378">
        <w:rPr>
          <w:rFonts w:ascii="Times New Roman" w:hAnsi="Times New Roman" w:cs="Times New Roman"/>
        </w:rPr>
        <w:t>.</w:t>
      </w:r>
      <w:bookmarkStart w:id="0" w:name="_Ref181258055"/>
      <w:r w:rsidR="0021668F" w:rsidRPr="00350378">
        <w:rPr>
          <w:rStyle w:val="EndnoteReference"/>
          <w:rFonts w:ascii="Times New Roman" w:hAnsi="Times New Roman" w:cs="Times New Roman"/>
        </w:rPr>
        <w:endnoteReference w:id="1"/>
      </w:r>
      <w:bookmarkEnd w:id="0"/>
      <w:r w:rsidR="0021668F" w:rsidRPr="00350378">
        <w:rPr>
          <w:rFonts w:ascii="Times New Roman" w:hAnsi="Times New Roman" w:cs="Times New Roman"/>
        </w:rPr>
        <w:t xml:space="preserve"> </w:t>
      </w:r>
      <w:r w:rsidR="0021668F" w:rsidRPr="00350378">
        <w:rPr>
          <w:rFonts w:ascii="Times New Roman" w:hAnsi="Times New Roman" w:cs="Times New Roman"/>
        </w:rPr>
        <w:t>That broader program includes several other, and by no means uncontroversial, measures including fast-tracking of apartment planning approvals near suburban transport hubs and stamp duty concessions.</w:t>
      </w:r>
      <w:r w:rsidR="0021668F" w:rsidRPr="00350378">
        <w:rPr>
          <w:rStyle w:val="EndnoteReference"/>
          <w:rFonts w:ascii="Times New Roman" w:hAnsi="Times New Roman" w:cs="Times New Roman"/>
        </w:rPr>
        <w:endnoteReference w:id="2"/>
      </w:r>
    </w:p>
    <w:p w14:paraId="6D4627A6" w14:textId="457CCD33" w:rsidR="0021668F" w:rsidRPr="00350378" w:rsidRDefault="0021668F" w:rsidP="00BC67B7">
      <w:pPr>
        <w:rPr>
          <w:rFonts w:ascii="Times New Roman" w:hAnsi="Times New Roman" w:cs="Times New Roman"/>
        </w:rPr>
      </w:pPr>
      <w:r w:rsidRPr="00350378">
        <w:rPr>
          <w:rFonts w:ascii="Times New Roman" w:hAnsi="Times New Roman" w:cs="Times New Roman"/>
        </w:rPr>
        <w:tab/>
        <w:t>The announcements – mainly by the Premier, the Planning Minister and the head of the Victorian Building Authority (“VBA”) – covered a raft of issues of relevance to the construction industry, including:</w:t>
      </w:r>
      <w:bookmarkStart w:id="1" w:name="_Ref181196893"/>
      <w:r w:rsidRPr="00350378">
        <w:rPr>
          <w:rStyle w:val="EndnoteReference"/>
          <w:rFonts w:ascii="Times New Roman" w:hAnsi="Times New Roman" w:cs="Times New Roman"/>
        </w:rPr>
        <w:endnoteReference w:id="3"/>
      </w:r>
      <w:bookmarkEnd w:id="1"/>
    </w:p>
    <w:p w14:paraId="03B65137" w14:textId="59A0C4ED" w:rsidR="0021668F" w:rsidRPr="00350378" w:rsidRDefault="0021668F" w:rsidP="001E0EC1">
      <w:pPr>
        <w:pStyle w:val="ListParagraph"/>
        <w:numPr>
          <w:ilvl w:val="0"/>
          <w:numId w:val="2"/>
        </w:numPr>
        <w:rPr>
          <w:rFonts w:ascii="Times New Roman" w:hAnsi="Times New Roman" w:cs="Times New Roman"/>
        </w:rPr>
      </w:pPr>
      <w:r w:rsidRPr="00350378">
        <w:rPr>
          <w:rFonts w:ascii="Times New Roman" w:hAnsi="Times New Roman" w:cs="Times New Roman"/>
        </w:rPr>
        <w:t>Security of payment</w:t>
      </w:r>
    </w:p>
    <w:p w14:paraId="07AFAF16" w14:textId="4053ADE4" w:rsidR="0021668F" w:rsidRPr="00350378" w:rsidRDefault="0021668F" w:rsidP="001E0EC1">
      <w:pPr>
        <w:pStyle w:val="ListParagraph"/>
        <w:numPr>
          <w:ilvl w:val="0"/>
          <w:numId w:val="2"/>
        </w:numPr>
        <w:rPr>
          <w:rFonts w:ascii="Times New Roman" w:hAnsi="Times New Roman" w:cs="Times New Roman"/>
        </w:rPr>
      </w:pPr>
      <w:r w:rsidRPr="00350378">
        <w:rPr>
          <w:rFonts w:ascii="Times New Roman" w:hAnsi="Times New Roman" w:cs="Times New Roman"/>
        </w:rPr>
        <w:t>Domestic building insurance, potentially leading to “decennial liability insurance”</w:t>
      </w:r>
    </w:p>
    <w:p w14:paraId="392A908D" w14:textId="38C378DC" w:rsidR="0021668F" w:rsidRPr="00350378" w:rsidRDefault="0021668F" w:rsidP="001E0EC1">
      <w:pPr>
        <w:pStyle w:val="ListParagraph"/>
        <w:numPr>
          <w:ilvl w:val="0"/>
          <w:numId w:val="2"/>
        </w:numPr>
        <w:rPr>
          <w:rFonts w:ascii="Times New Roman" w:hAnsi="Times New Roman" w:cs="Times New Roman"/>
        </w:rPr>
      </w:pPr>
      <w:r w:rsidRPr="00350378">
        <w:rPr>
          <w:rFonts w:ascii="Times New Roman" w:hAnsi="Times New Roman" w:cs="Times New Roman"/>
        </w:rPr>
        <w:t>Developer bonds.</w:t>
      </w:r>
    </w:p>
    <w:p w14:paraId="6CE3E26A" w14:textId="3FB4B846" w:rsidR="0021668F" w:rsidRPr="00350378" w:rsidRDefault="0021668F" w:rsidP="001E0EC1">
      <w:pPr>
        <w:rPr>
          <w:rFonts w:ascii="Times New Roman" w:hAnsi="Times New Roman" w:cs="Times New Roman"/>
        </w:rPr>
      </w:pPr>
      <w:r w:rsidRPr="00350378">
        <w:rPr>
          <w:rFonts w:ascii="Times New Roman" w:hAnsi="Times New Roman" w:cs="Times New Roman"/>
        </w:rPr>
        <w:t>Many of these reforms had already been foreshadowed, including via several reports issued in late 2023.</w:t>
      </w:r>
      <w:bookmarkStart w:id="2" w:name="_Ref181215555"/>
      <w:r w:rsidRPr="00350378">
        <w:rPr>
          <w:rStyle w:val="EndnoteReference"/>
          <w:rFonts w:ascii="Times New Roman" w:hAnsi="Times New Roman" w:cs="Times New Roman"/>
        </w:rPr>
        <w:endnoteReference w:id="4"/>
      </w:r>
      <w:bookmarkEnd w:id="2"/>
      <w:r w:rsidRPr="00350378">
        <w:rPr>
          <w:rFonts w:ascii="Times New Roman" w:hAnsi="Times New Roman" w:cs="Times New Roman"/>
        </w:rPr>
        <w:t xml:space="preserve"> They also may be seen as reflecting an element of “playing catchup” with other states – albeit to be welcomed from the point of view of national harmonisation – after a period of relative dormancy in Victoria. These include the first-resort residential building insurance available in Queensland,</w:t>
      </w:r>
      <w:bookmarkStart w:id="3" w:name="_Ref181200895"/>
      <w:r w:rsidRPr="00350378">
        <w:rPr>
          <w:rStyle w:val="EndnoteReference"/>
          <w:rFonts w:ascii="Times New Roman" w:hAnsi="Times New Roman" w:cs="Times New Roman"/>
        </w:rPr>
        <w:endnoteReference w:id="5"/>
      </w:r>
      <w:bookmarkEnd w:id="3"/>
      <w:r w:rsidRPr="00350378">
        <w:rPr>
          <w:rFonts w:ascii="Times New Roman" w:hAnsi="Times New Roman" w:cs="Times New Roman"/>
        </w:rPr>
        <w:t xml:space="preserve"> security of payment reforms in WA (largely in line with John Murray AM’s 2017 recommendations)</w:t>
      </w:r>
      <w:r w:rsidRPr="00350378">
        <w:rPr>
          <w:rStyle w:val="EndnoteReference"/>
          <w:rFonts w:ascii="Times New Roman" w:hAnsi="Times New Roman" w:cs="Times New Roman"/>
        </w:rPr>
        <w:endnoteReference w:id="6"/>
      </w:r>
      <w:r w:rsidRPr="00350378">
        <w:rPr>
          <w:rFonts w:ascii="Times New Roman" w:hAnsi="Times New Roman" w:cs="Times New Roman"/>
        </w:rPr>
        <w:t xml:space="preserve"> and the suite of reforms in NSW brought in to address the endemic quality issues exemplified by high-profile failures such as the need to evacuate the residents of the newly-completed Opal Tower on Christmas Eve 2018.</w:t>
      </w:r>
      <w:r w:rsidRPr="00350378">
        <w:rPr>
          <w:rStyle w:val="EndnoteReference"/>
          <w:rFonts w:ascii="Times New Roman" w:hAnsi="Times New Roman" w:cs="Times New Roman"/>
        </w:rPr>
        <w:endnoteReference w:id="7"/>
      </w:r>
    </w:p>
    <w:p w14:paraId="1B87D0F9" w14:textId="7A06D7D8" w:rsidR="0021668F" w:rsidRPr="00350378" w:rsidRDefault="0021668F" w:rsidP="001E0EC1">
      <w:pPr>
        <w:rPr>
          <w:rFonts w:ascii="Times New Roman" w:hAnsi="Times New Roman" w:cs="Times New Roman"/>
        </w:rPr>
      </w:pPr>
      <w:r w:rsidRPr="00350378">
        <w:rPr>
          <w:rFonts w:ascii="Times New Roman" w:hAnsi="Times New Roman" w:cs="Times New Roman"/>
        </w:rPr>
        <w:tab/>
        <w:t>One change which had not been widely expected (at least, until the VBA’s Board was disbanded in March 2024) was the replacement of the VBA with a new regulator, the Building and Plumbing Commission (“BPC”). The BPC is intended to be “a new one-stop shop” which is proposed to absorb not only the VBA’s current remit in practitioner registration and regulatory overview but also the dispute resolution function within Domestic Building Dispute Resolution Victoria, the Victorian Managed Insurance Agency’s remit in relation to domestic building insurance (“DBI”), and Consumer Affairs Victoria’s responsibility for domestic building contracts.</w:t>
      </w:r>
      <w:bookmarkStart w:id="4" w:name="_Ref181195490"/>
      <w:r w:rsidRPr="00350378">
        <w:rPr>
          <w:rStyle w:val="EndnoteReference"/>
          <w:rFonts w:ascii="Times New Roman" w:hAnsi="Times New Roman" w:cs="Times New Roman"/>
        </w:rPr>
        <w:endnoteReference w:id="8"/>
      </w:r>
      <w:bookmarkEnd w:id="4"/>
    </w:p>
    <w:p w14:paraId="5A86D41B" w14:textId="481B8212" w:rsidR="0021668F" w:rsidRPr="00350378" w:rsidRDefault="0021668F" w:rsidP="001E0EC1">
      <w:pPr>
        <w:rPr>
          <w:rFonts w:ascii="Times New Roman" w:hAnsi="Times New Roman" w:cs="Times New Roman"/>
        </w:rPr>
      </w:pPr>
      <w:r w:rsidRPr="00350378">
        <w:rPr>
          <w:rFonts w:ascii="Times New Roman" w:hAnsi="Times New Roman" w:cs="Times New Roman"/>
        </w:rPr>
        <w:tab/>
        <w:t>This is the sort of reform which a Sir Humphrey Appleby might counsel his Minister as being “very brave”, especially given that the VBA itself rose from the ashes of the Victorian Building Commission barely a decade ago. But, by explicitly siting these building-related reforms in the context of the housing crisis in Victoria (and, beyond), the Victorian government has – rightly, in my view</w:t>
      </w:r>
      <w:bookmarkStart w:id="5" w:name="_Ref181213174"/>
      <w:r w:rsidRPr="00350378">
        <w:rPr>
          <w:rStyle w:val="EndnoteReference"/>
          <w:rFonts w:ascii="Times New Roman" w:hAnsi="Times New Roman" w:cs="Times New Roman"/>
        </w:rPr>
        <w:endnoteReference w:id="9"/>
      </w:r>
      <w:bookmarkEnd w:id="5"/>
      <w:r w:rsidRPr="00350378">
        <w:rPr>
          <w:rFonts w:ascii="Times New Roman" w:hAnsi="Times New Roman" w:cs="Times New Roman"/>
        </w:rPr>
        <w:t xml:space="preserve"> – signalled that a step change in delivery of quality housing cannot be achieved without firmly grasping the nettle of holistic construction regulatory reform.</w:t>
      </w:r>
      <w:bookmarkStart w:id="6" w:name="_Ref181196916"/>
      <w:r w:rsidRPr="00350378">
        <w:rPr>
          <w:rStyle w:val="EndnoteReference"/>
          <w:rFonts w:ascii="Times New Roman" w:hAnsi="Times New Roman" w:cs="Times New Roman"/>
        </w:rPr>
        <w:endnoteReference w:id="10"/>
      </w:r>
      <w:bookmarkEnd w:id="6"/>
      <w:r w:rsidRPr="00350378">
        <w:rPr>
          <w:rFonts w:ascii="Times New Roman" w:hAnsi="Times New Roman" w:cs="Times New Roman"/>
        </w:rPr>
        <w:t xml:space="preserve"> </w:t>
      </w:r>
    </w:p>
    <w:p w14:paraId="3E17466C" w14:textId="4F766D13" w:rsidR="0021668F" w:rsidRPr="00350378" w:rsidRDefault="0021668F" w:rsidP="001E0EC1">
      <w:pPr>
        <w:rPr>
          <w:rFonts w:ascii="Times New Roman" w:hAnsi="Times New Roman" w:cs="Times New Roman"/>
        </w:rPr>
      </w:pPr>
      <w:r w:rsidRPr="00350378">
        <w:rPr>
          <w:rFonts w:ascii="Times New Roman" w:hAnsi="Times New Roman" w:cs="Times New Roman"/>
        </w:rPr>
        <w:tab/>
        <w:t>This article seeks to highlight some aspects of the proposed reforms which all construction lawyers and their clients will need to be aware of. As is inevitable, however, this article can only be a snapshot view of a “moveable feast” as at the end of October 2024. At this time, we were still waiting to hear about:</w:t>
      </w:r>
      <w:bookmarkStart w:id="7" w:name="_Ref181201420"/>
      <w:r w:rsidRPr="00350378">
        <w:rPr>
          <w:rStyle w:val="EndnoteReference"/>
          <w:rFonts w:ascii="Times New Roman" w:hAnsi="Times New Roman" w:cs="Times New Roman"/>
        </w:rPr>
        <w:endnoteReference w:id="11"/>
      </w:r>
      <w:bookmarkEnd w:id="7"/>
    </w:p>
    <w:p w14:paraId="08DFB639" w14:textId="6940D15C" w:rsidR="0021668F" w:rsidRPr="00350378" w:rsidRDefault="0021668F" w:rsidP="000877B4">
      <w:pPr>
        <w:pStyle w:val="ListParagraph"/>
        <w:numPr>
          <w:ilvl w:val="0"/>
          <w:numId w:val="3"/>
        </w:numPr>
        <w:rPr>
          <w:rFonts w:ascii="Times New Roman" w:hAnsi="Times New Roman" w:cs="Times New Roman"/>
        </w:rPr>
      </w:pPr>
      <w:r w:rsidRPr="00350378">
        <w:rPr>
          <w:rFonts w:ascii="Times New Roman" w:hAnsi="Times New Roman" w:cs="Times New Roman"/>
        </w:rPr>
        <w:t xml:space="preserve">The government’s response to the review of the </w:t>
      </w:r>
      <w:r w:rsidRPr="00350378">
        <w:rPr>
          <w:rFonts w:ascii="Times New Roman" w:hAnsi="Times New Roman" w:cs="Times New Roman"/>
          <w:i/>
          <w:iCs/>
        </w:rPr>
        <w:t xml:space="preserve">Domestic Building Contracts Act 1995 </w:t>
      </w:r>
      <w:r w:rsidRPr="00350378">
        <w:rPr>
          <w:rFonts w:ascii="Times New Roman" w:hAnsi="Times New Roman" w:cs="Times New Roman"/>
        </w:rPr>
        <w:t>(Vic): the Discussion Paper for that review signalled an appetite for considering changes across that regime including to key monetary thresholds and whether greater flexibility should be allowed in relation to cost escalation and other matters.</w:t>
      </w:r>
      <w:bookmarkStart w:id="8" w:name="_Ref181211249"/>
      <w:r w:rsidRPr="00350378">
        <w:rPr>
          <w:rStyle w:val="EndnoteReference"/>
          <w:rFonts w:ascii="Times New Roman" w:hAnsi="Times New Roman" w:cs="Times New Roman"/>
        </w:rPr>
        <w:endnoteReference w:id="12"/>
      </w:r>
      <w:bookmarkEnd w:id="8"/>
    </w:p>
    <w:p w14:paraId="18CC6893" w14:textId="23C4A967" w:rsidR="0021668F" w:rsidRPr="00350378" w:rsidRDefault="0021668F" w:rsidP="001E0EC1">
      <w:pPr>
        <w:pStyle w:val="ListParagraph"/>
        <w:numPr>
          <w:ilvl w:val="0"/>
          <w:numId w:val="3"/>
        </w:numPr>
        <w:rPr>
          <w:rFonts w:ascii="Times New Roman" w:hAnsi="Times New Roman" w:cs="Times New Roman"/>
        </w:rPr>
      </w:pPr>
      <w:r w:rsidRPr="00350378">
        <w:rPr>
          <w:rFonts w:ascii="Times New Roman" w:hAnsi="Times New Roman" w:cs="Times New Roman"/>
        </w:rPr>
        <w:t>The third and final stage of the Building System Review led by the Expert Panel on Building Reform, which is expected to lead to a redrafting of the Victorian suite of building-related legislation (a project which is already underway in NSW);</w:t>
      </w:r>
      <w:bookmarkStart w:id="9" w:name="_Ref181258281"/>
      <w:r w:rsidRPr="00350378">
        <w:rPr>
          <w:rStyle w:val="EndnoteReference"/>
          <w:rFonts w:ascii="Times New Roman" w:hAnsi="Times New Roman" w:cs="Times New Roman"/>
        </w:rPr>
        <w:endnoteReference w:id="13"/>
      </w:r>
      <w:bookmarkEnd w:id="9"/>
      <w:r w:rsidRPr="00350378">
        <w:rPr>
          <w:rFonts w:ascii="Times New Roman" w:hAnsi="Times New Roman" w:cs="Times New Roman"/>
        </w:rPr>
        <w:t xml:space="preserve"> the second stage report, released in 2023, had made a number of significant recommendations including adoption of the statutory duty of care for economic loss which had been introduced in NSW in 2020.</w:t>
      </w:r>
      <w:bookmarkStart w:id="10" w:name="_Ref181199396"/>
      <w:r w:rsidRPr="00350378">
        <w:rPr>
          <w:rStyle w:val="EndnoteReference"/>
          <w:rFonts w:ascii="Times New Roman" w:hAnsi="Times New Roman" w:cs="Times New Roman"/>
        </w:rPr>
        <w:endnoteReference w:id="14"/>
      </w:r>
      <w:bookmarkEnd w:id="10"/>
    </w:p>
    <w:p w14:paraId="14C5AB4A" w14:textId="6FFEA03B" w:rsidR="0021668F" w:rsidRPr="00350378" w:rsidRDefault="0021668F" w:rsidP="00ED754B">
      <w:pPr>
        <w:pStyle w:val="Heading1"/>
        <w:rPr>
          <w:rFonts w:ascii="Optima" w:hAnsi="Optima" w:cs="Times New Roman"/>
          <w:color w:val="000000" w:themeColor="text1"/>
        </w:rPr>
      </w:pPr>
      <w:r w:rsidRPr="00350378">
        <w:rPr>
          <w:rFonts w:ascii="Optima" w:hAnsi="Optima" w:cs="Times New Roman"/>
          <w:color w:val="000000" w:themeColor="text1"/>
        </w:rPr>
        <w:t>The new Building and Plumbing Commission and its “watchdog” powers</w:t>
      </w:r>
    </w:p>
    <w:p w14:paraId="6687C175" w14:textId="79E31733" w:rsidR="0021668F" w:rsidRPr="00350378" w:rsidRDefault="0021668F" w:rsidP="00A56D9C">
      <w:pPr>
        <w:rPr>
          <w:rFonts w:ascii="Times New Roman" w:hAnsi="Times New Roman" w:cs="Times New Roman"/>
        </w:rPr>
      </w:pPr>
      <w:r w:rsidRPr="00350378">
        <w:rPr>
          <w:rFonts w:ascii="Times New Roman" w:hAnsi="Times New Roman" w:cs="Times New Roman"/>
        </w:rPr>
        <w:t>As at late October 2024, the only detail available as to the specific role and powers which the BPC is likely to have when it arrives in mid-2025 is via announcements by the VBA and by the government.</w:t>
      </w:r>
      <w:r w:rsidRPr="00350378">
        <w:rPr>
          <w:rStyle w:val="EndnoteReference"/>
          <w:rFonts w:ascii="Times New Roman" w:hAnsi="Times New Roman" w:cs="Times New Roman"/>
        </w:rPr>
        <w:endnoteReference w:id="15"/>
      </w:r>
      <w:r w:rsidRPr="00350378">
        <w:rPr>
          <w:rFonts w:ascii="Times New Roman" w:hAnsi="Times New Roman" w:cs="Times New Roman"/>
        </w:rPr>
        <w:t xml:space="preserve"> They are, however, said to be a “game changer” and to include (numbering added and combining quotes from the announcements):</w:t>
      </w:r>
    </w:p>
    <w:p w14:paraId="6505010C" w14:textId="4F59B777" w:rsidR="0021668F" w:rsidRPr="00350378" w:rsidRDefault="0021668F" w:rsidP="00295D4F">
      <w:pPr>
        <w:pStyle w:val="ListParagraph"/>
        <w:numPr>
          <w:ilvl w:val="0"/>
          <w:numId w:val="6"/>
        </w:numPr>
        <w:rPr>
          <w:rFonts w:ascii="Times New Roman" w:hAnsi="Times New Roman" w:cs="Times New Roman"/>
          <w:lang w:eastAsia="en-GB"/>
        </w:rPr>
      </w:pPr>
      <w:r w:rsidRPr="00350378">
        <w:rPr>
          <w:rFonts w:ascii="Times New Roman" w:hAnsi="Times New Roman" w:cs="Times New Roman"/>
          <w:lang w:eastAsia="en-GB"/>
        </w:rPr>
        <w:t>A new rectification order power to allow the regulator to act against a builder after the occupancy permit is issued. …</w:t>
      </w:r>
    </w:p>
    <w:p w14:paraId="03FD14CE" w14:textId="3FE02FFD" w:rsidR="0021668F" w:rsidRPr="00350378" w:rsidRDefault="0021668F" w:rsidP="00F55A60">
      <w:pPr>
        <w:pStyle w:val="ListParagraph"/>
        <w:numPr>
          <w:ilvl w:val="0"/>
          <w:numId w:val="6"/>
        </w:numPr>
        <w:rPr>
          <w:rFonts w:ascii="Times New Roman" w:hAnsi="Times New Roman" w:cs="Times New Roman"/>
          <w:lang w:eastAsia="en-GB"/>
        </w:rPr>
      </w:pPr>
      <w:r w:rsidRPr="00350378">
        <w:rPr>
          <w:rFonts w:ascii="Times New Roman" w:hAnsi="Times New Roman" w:cs="Times New Roman"/>
          <w:lang w:eastAsia="en-GB"/>
        </w:rPr>
        <w:t xml:space="preserve">Compelling developers of apartment buildings above three storeys to notify the regulator before a building is occupied, so the regulator can conduct a final inspection. … </w:t>
      </w:r>
      <w:r w:rsidRPr="00350378">
        <w:rPr>
          <w:rFonts w:ascii="Times New Roman" w:hAnsi="Times New Roman" w:cs="Times New Roman"/>
          <w:lang w:val="en-US" w:eastAsia="en-GB"/>
        </w:rPr>
        <w:t>New powers will also enable the watchdog to stop apartments with serious defects from being sold, as well as increased reporting requirements before occupancy certificates are signed off on new builds.</w:t>
      </w:r>
    </w:p>
    <w:p w14:paraId="5C244ACA" w14:textId="6550299F" w:rsidR="0021668F" w:rsidRPr="00350378" w:rsidRDefault="0021668F" w:rsidP="00326D39">
      <w:pPr>
        <w:pStyle w:val="ListParagraph"/>
        <w:numPr>
          <w:ilvl w:val="0"/>
          <w:numId w:val="6"/>
        </w:numPr>
        <w:rPr>
          <w:rFonts w:ascii="Times New Roman" w:hAnsi="Times New Roman" w:cs="Times New Roman"/>
          <w:lang w:eastAsia="en-GB"/>
        </w:rPr>
      </w:pPr>
      <w:r w:rsidRPr="00350378">
        <w:rPr>
          <w:rFonts w:ascii="Times New Roman" w:hAnsi="Times New Roman" w:cs="Times New Roman"/>
          <w:lang w:eastAsia="en-GB"/>
        </w:rPr>
        <w:t xml:space="preserve">Apartment owners will be better protected with a strata bond introduced for mid- to high-rise apartment buildings. This ensures funds are available to rectify defects after the occupancy permit is issued. … </w:t>
      </w:r>
      <w:r w:rsidRPr="00350378">
        <w:rPr>
          <w:rFonts w:ascii="Times New Roman" w:hAnsi="Times New Roman" w:cs="Times New Roman"/>
          <w:lang w:val="en-US" w:eastAsia="en-GB"/>
        </w:rPr>
        <w:t>The new bond will be the first step towards introducing a new 10-year insurance product for apartment buildings</w:t>
      </w:r>
      <w:r w:rsidRPr="00350378">
        <w:rPr>
          <w:rFonts w:ascii="Times New Roman" w:hAnsi="Times New Roman" w:cs="Times New Roman"/>
          <w:lang w:eastAsia="en-GB"/>
        </w:rPr>
        <w:t>…</w:t>
      </w:r>
    </w:p>
    <w:p w14:paraId="05012F9F" w14:textId="3289A372" w:rsidR="0021668F" w:rsidRPr="00350378" w:rsidRDefault="0021668F" w:rsidP="00295D4F">
      <w:pPr>
        <w:pStyle w:val="ListParagraph"/>
        <w:numPr>
          <w:ilvl w:val="0"/>
          <w:numId w:val="6"/>
        </w:numPr>
        <w:rPr>
          <w:rFonts w:ascii="Times New Roman" w:hAnsi="Times New Roman" w:cs="Times New Roman"/>
          <w:lang w:eastAsia="en-GB"/>
        </w:rPr>
      </w:pPr>
      <w:r w:rsidRPr="00350378">
        <w:rPr>
          <w:rFonts w:ascii="Times New Roman" w:hAnsi="Times New Roman" w:cs="Times New Roman"/>
          <w:lang w:eastAsia="en-GB"/>
        </w:rPr>
        <w:t>DBI will be expanded to respond when a builder has failed to comply with the new rectification order. This means the builder no longer must be insolvent, disappear, or die before a claim can be made.</w:t>
      </w:r>
    </w:p>
    <w:p w14:paraId="223B18F9" w14:textId="77777777" w:rsidR="0021668F" w:rsidRPr="00350378" w:rsidRDefault="0021668F" w:rsidP="001E0EC1">
      <w:pPr>
        <w:rPr>
          <w:rFonts w:ascii="Times New Roman" w:hAnsi="Times New Roman" w:cs="Times New Roman"/>
        </w:rPr>
      </w:pPr>
    </w:p>
    <w:p w14:paraId="797A3F2A" w14:textId="7EB7BDA9" w:rsidR="0021668F" w:rsidRPr="00350378" w:rsidRDefault="0021668F" w:rsidP="002F37B2">
      <w:pPr>
        <w:rPr>
          <w:rFonts w:ascii="Times New Roman" w:hAnsi="Times New Roman" w:cs="Times New Roman"/>
        </w:rPr>
      </w:pPr>
      <w:r w:rsidRPr="00350378">
        <w:rPr>
          <w:rFonts w:ascii="Times New Roman" w:hAnsi="Times New Roman" w:cs="Times New Roman"/>
        </w:rPr>
        <w:t>Items 1-2, as described here, sound akin to measures which have been implemented in NSW under the reform program administered by the recently-retired Building Commissioner David Chandler OAM (now replaced by James Sherrard) under (primarily) Part 5 Div 1 of the RAB Act. There is resonance in the announcements also with practical measures recently adopted in NSW: the “inspection blitz, including a crackdown on unregistered building and plumbing work”</w:t>
      </w:r>
      <w:r w:rsidRPr="00350378">
        <w:rPr>
          <w:rStyle w:val="EndnoteReference"/>
          <w:rFonts w:ascii="Times New Roman" w:hAnsi="Times New Roman" w:cs="Times New Roman"/>
        </w:rPr>
        <w:endnoteReference w:id="16"/>
      </w:r>
      <w:r w:rsidRPr="00350378">
        <w:rPr>
          <w:rFonts w:ascii="Times New Roman" w:hAnsi="Times New Roman" w:cs="Times New Roman"/>
        </w:rPr>
        <w:t xml:space="preserve"> may be expected to rest upon powers similar to the “anywhere, anytime” inspections, leading to issue of rectification orders, introduced in 2023 into Part 3B of the </w:t>
      </w:r>
      <w:r w:rsidRPr="00350378">
        <w:rPr>
          <w:rFonts w:ascii="Times New Roman" w:hAnsi="Times New Roman" w:cs="Times New Roman"/>
          <w:i/>
          <w:iCs/>
        </w:rPr>
        <w:t xml:space="preserve">Home Building Act 1989 </w:t>
      </w:r>
      <w:r w:rsidRPr="00350378">
        <w:rPr>
          <w:rFonts w:ascii="Times New Roman" w:hAnsi="Times New Roman" w:cs="Times New Roman"/>
        </w:rPr>
        <w:t>(NSW).</w:t>
      </w:r>
    </w:p>
    <w:p w14:paraId="36EC08BA" w14:textId="566A287C" w:rsidR="0021668F" w:rsidRPr="00350378" w:rsidRDefault="0021668F" w:rsidP="002F37B2">
      <w:pPr>
        <w:rPr>
          <w:rFonts w:ascii="Times New Roman" w:hAnsi="Times New Roman" w:cs="Times New Roman"/>
        </w:rPr>
      </w:pPr>
      <w:r w:rsidRPr="00350378">
        <w:rPr>
          <w:rFonts w:ascii="Times New Roman" w:hAnsi="Times New Roman" w:cs="Times New Roman"/>
        </w:rPr>
        <w:tab/>
        <w:t>In relation to item 3, the recommendation by the Building System Review Stage 2 report to introduce a developer bond scheme suggested explicitly that it be based upon the one in NSW.</w:t>
      </w:r>
      <w:r w:rsidRPr="00350378">
        <w:rPr>
          <w:rStyle w:val="EndnoteReference"/>
          <w:rFonts w:ascii="Times New Roman" w:hAnsi="Times New Roman" w:cs="Times New Roman"/>
        </w:rPr>
        <w:endnoteReference w:id="17"/>
      </w:r>
      <w:r w:rsidRPr="00350378">
        <w:rPr>
          <w:rFonts w:ascii="Times New Roman" w:hAnsi="Times New Roman" w:cs="Times New Roman"/>
        </w:rPr>
        <w:t xml:space="preserve"> It may therefore be expected to mirror that under Part 11 Div 3 of the </w:t>
      </w:r>
      <w:r w:rsidRPr="00350378">
        <w:rPr>
          <w:rFonts w:ascii="Times New Roman" w:hAnsi="Times New Roman" w:cs="Times New Roman"/>
          <w:i/>
          <w:iCs/>
        </w:rPr>
        <w:t xml:space="preserve">Strata Schemes Management Act 2015 </w:t>
      </w:r>
      <w:r w:rsidRPr="00350378">
        <w:rPr>
          <w:rFonts w:ascii="Times New Roman" w:hAnsi="Times New Roman" w:cs="Times New Roman"/>
        </w:rPr>
        <w:t xml:space="preserve">(NSW) and Part 8 Div 3 of the </w:t>
      </w:r>
      <w:r w:rsidRPr="00350378">
        <w:rPr>
          <w:rFonts w:ascii="Times New Roman" w:hAnsi="Times New Roman" w:cs="Times New Roman"/>
          <w:i/>
          <w:iCs/>
        </w:rPr>
        <w:t xml:space="preserve">Strata Schemes Management Regulation 2016 </w:t>
      </w:r>
      <w:r w:rsidRPr="00350378">
        <w:rPr>
          <w:rFonts w:ascii="Times New Roman" w:hAnsi="Times New Roman" w:cs="Times New Roman"/>
        </w:rPr>
        <w:t>(NSW). There, the bond is to be for 2% of the contract price (increasing to 3% for bonds given after 1 July 2025) and to be held for up to three years after the occupancy certificate.</w:t>
      </w:r>
      <w:r w:rsidRPr="00350378">
        <w:rPr>
          <w:rStyle w:val="EndnoteReference"/>
          <w:rFonts w:ascii="Times New Roman" w:hAnsi="Times New Roman" w:cs="Times New Roman"/>
        </w:rPr>
        <w:endnoteReference w:id="18"/>
      </w:r>
      <w:r w:rsidRPr="00350378">
        <w:rPr>
          <w:rFonts w:ascii="Times New Roman" w:hAnsi="Times New Roman" w:cs="Times New Roman"/>
        </w:rPr>
        <w:t xml:space="preserve"> The second aspect, decennial liability insurance, was the subject of chapter 6 of the Stage 2 report, leading to its recommendation – apparently sensitive to the reality that insurance is a global enterprise over which even state governments have limited influence – for a staged introduction of the new scheme guided by an advisory committee.</w:t>
      </w:r>
      <w:r w:rsidRPr="00350378">
        <w:rPr>
          <w:rStyle w:val="EndnoteReference"/>
          <w:rFonts w:ascii="Times New Roman" w:hAnsi="Times New Roman" w:cs="Times New Roman"/>
        </w:rPr>
        <w:endnoteReference w:id="19"/>
      </w:r>
      <w:r w:rsidRPr="00350378">
        <w:rPr>
          <w:rFonts w:ascii="Times New Roman" w:hAnsi="Times New Roman" w:cs="Times New Roman"/>
        </w:rPr>
        <w:t xml:space="preserve"> Thus, it appears that again the Victorian intention is to learn from the experience in NSW which in this case led to legislative reforms in 2023.</w:t>
      </w:r>
      <w:r w:rsidRPr="00350378">
        <w:rPr>
          <w:rStyle w:val="EndnoteReference"/>
          <w:rFonts w:ascii="Times New Roman" w:hAnsi="Times New Roman" w:cs="Times New Roman"/>
        </w:rPr>
        <w:endnoteReference w:id="20"/>
      </w:r>
    </w:p>
    <w:p w14:paraId="00865DDB" w14:textId="7E100B32" w:rsidR="0021668F" w:rsidRPr="00350378" w:rsidRDefault="0021668F" w:rsidP="002F37B2">
      <w:pPr>
        <w:rPr>
          <w:rFonts w:ascii="Times New Roman" w:hAnsi="Times New Roman" w:cs="Times New Roman"/>
        </w:rPr>
      </w:pPr>
      <w:r w:rsidRPr="00350378">
        <w:rPr>
          <w:rFonts w:ascii="Times New Roman" w:hAnsi="Times New Roman" w:cs="Times New Roman"/>
        </w:rPr>
        <w:tab/>
        <w:t>Item 4 appears to foreshadow an amendment to the relevant Ministerial Order to expand the triggers for indemnity to include where a rectification order has not been complied with.</w:t>
      </w:r>
      <w:r w:rsidRPr="00350378">
        <w:rPr>
          <w:rStyle w:val="EndnoteReference"/>
          <w:rFonts w:ascii="Times New Roman" w:hAnsi="Times New Roman" w:cs="Times New Roman"/>
        </w:rPr>
        <w:endnoteReference w:id="21"/>
      </w:r>
      <w:r w:rsidRPr="00350378">
        <w:rPr>
          <w:rFonts w:ascii="Times New Roman" w:hAnsi="Times New Roman" w:cs="Times New Roman"/>
        </w:rPr>
        <w:t xml:space="preserve"> This was not the subject of a recommendation in the Stage 2 report, so this is very much an area where its effectiveness will rest on the efficacy of the rectification order process dovetailing with sufficient resources (by way of premium pool and administration) within the BPC as the “one stop shop”. Given that the deficiencies of the current “last resort” scheme – exacerbated in the wake of the collapse of Porter Davis and other high-profile builders – are very well known,</w:t>
      </w:r>
      <w:r w:rsidRPr="00350378">
        <w:rPr>
          <w:rStyle w:val="EndnoteReference"/>
          <w:rFonts w:ascii="Times New Roman" w:hAnsi="Times New Roman" w:cs="Times New Roman"/>
        </w:rPr>
        <w:endnoteReference w:id="22"/>
      </w:r>
      <w:r w:rsidRPr="00350378">
        <w:rPr>
          <w:rFonts w:ascii="Times New Roman" w:hAnsi="Times New Roman" w:cs="Times New Roman"/>
        </w:rPr>
        <w:t xml:space="preserve"> it is to be hoped that this reform, in concert with others, will lead to significant enhancement of consumer protection.</w:t>
      </w:r>
    </w:p>
    <w:p w14:paraId="3858A528" w14:textId="66AEC819" w:rsidR="0021668F" w:rsidRPr="00350378" w:rsidRDefault="0021668F" w:rsidP="002F4A2A">
      <w:pPr>
        <w:pStyle w:val="Heading1"/>
        <w:rPr>
          <w:rFonts w:ascii="Optima" w:hAnsi="Optima" w:cs="Times New Roman"/>
          <w:color w:val="000000" w:themeColor="text1"/>
        </w:rPr>
      </w:pPr>
      <w:r w:rsidRPr="00350378">
        <w:rPr>
          <w:rFonts w:ascii="Optima" w:hAnsi="Optima" w:cs="Times New Roman"/>
          <w:color w:val="000000" w:themeColor="text1"/>
        </w:rPr>
        <w:t>Security of payment: the prodigal state returns?</w:t>
      </w:r>
    </w:p>
    <w:p w14:paraId="5A3F49FC" w14:textId="6BDFB49C" w:rsidR="0021668F" w:rsidRPr="00350378" w:rsidRDefault="0021668F" w:rsidP="00C20DC8">
      <w:pPr>
        <w:rPr>
          <w:rFonts w:ascii="Times New Roman" w:hAnsi="Times New Roman" w:cs="Times New Roman"/>
        </w:rPr>
      </w:pPr>
      <w:r w:rsidRPr="00350378">
        <w:rPr>
          <w:rFonts w:ascii="Times New Roman" w:hAnsi="Times New Roman" w:cs="Times New Roman"/>
        </w:rPr>
        <w:t>The previous discussion of the prospects for effective reform of the Victorian DBI scheme foreshadowed the need for any such reforms to dovetail with others which are designed to avoid builders falling into a situation where the insurance needs to be called upon. Prominent amongst these causes of incomplete or defective work (along with the incompetence and gamesmanship which will always be present) is “the very lifeblood” of the industry: cashflow.</w:t>
      </w:r>
      <w:r w:rsidRPr="00350378">
        <w:rPr>
          <w:rStyle w:val="EndnoteReference"/>
          <w:rFonts w:ascii="Times New Roman" w:hAnsi="Times New Roman" w:cs="Times New Roman"/>
        </w:rPr>
        <w:endnoteReference w:id="23"/>
      </w:r>
      <w:r w:rsidRPr="00350378">
        <w:rPr>
          <w:rFonts w:ascii="Times New Roman" w:hAnsi="Times New Roman" w:cs="Times New Roman"/>
        </w:rPr>
        <w:t xml:space="preserve"> It is therefore appropriate that the Victorian government’s response to the 2023 Parliamentary Inquiry on security of payment reform also was tabled in October 2024,</w:t>
      </w:r>
      <w:r w:rsidRPr="00350378">
        <w:rPr>
          <w:rStyle w:val="EndnoteReference"/>
          <w:rFonts w:ascii="Times New Roman" w:hAnsi="Times New Roman" w:cs="Times New Roman"/>
        </w:rPr>
        <w:endnoteReference w:id="24"/>
      </w:r>
      <w:r w:rsidRPr="00350378">
        <w:rPr>
          <w:rFonts w:ascii="Times New Roman" w:hAnsi="Times New Roman" w:cs="Times New Roman"/>
        </w:rPr>
        <w:t xml:space="preserve"> and that it expressly acknowledged the nexus between improving payment practices and “a building and construction industry that is better placed to improve housing supply”.</w:t>
      </w:r>
      <w:r w:rsidRPr="00350378">
        <w:rPr>
          <w:rStyle w:val="EndnoteReference"/>
          <w:rFonts w:ascii="Times New Roman" w:hAnsi="Times New Roman" w:cs="Times New Roman"/>
        </w:rPr>
        <w:endnoteReference w:id="25"/>
      </w:r>
    </w:p>
    <w:p w14:paraId="0F66E56E" w14:textId="0E78C27D" w:rsidR="0021668F" w:rsidRPr="00350378" w:rsidRDefault="0021668F" w:rsidP="00C20DC8">
      <w:pPr>
        <w:rPr>
          <w:rFonts w:ascii="Times New Roman" w:hAnsi="Times New Roman" w:cs="Times New Roman"/>
        </w:rPr>
      </w:pPr>
      <w:r w:rsidRPr="00350378">
        <w:rPr>
          <w:rFonts w:ascii="Times New Roman" w:hAnsi="Times New Roman" w:cs="Times New Roman"/>
        </w:rPr>
        <w:tab/>
        <w:t xml:space="preserve">The response’s overarching virtue is that it raises the prospect of bringing Victoria into line with other states, especially in its abandonment (via its </w:t>
      </w:r>
      <w:r w:rsidRPr="00350378">
        <w:rPr>
          <w:rFonts w:ascii="Times New Roman" w:hAnsi="Times New Roman" w:cs="Times New Roman"/>
          <w:i/>
          <w:iCs/>
        </w:rPr>
        <w:t>recommendation 2</w:t>
      </w:r>
      <w:r w:rsidRPr="00350378">
        <w:rPr>
          <w:rFonts w:ascii="Times New Roman" w:hAnsi="Times New Roman" w:cs="Times New Roman"/>
        </w:rPr>
        <w:t>) of the ambiguous policy and drafting comprising the so-called “excluded amounts” regime.</w:t>
      </w:r>
      <w:r w:rsidRPr="00350378">
        <w:rPr>
          <w:rStyle w:val="EndnoteReference"/>
          <w:rFonts w:ascii="Times New Roman" w:hAnsi="Times New Roman" w:cs="Times New Roman"/>
        </w:rPr>
        <w:endnoteReference w:id="26"/>
      </w:r>
      <w:r w:rsidRPr="00350378">
        <w:rPr>
          <w:rFonts w:ascii="Times New Roman" w:hAnsi="Times New Roman" w:cs="Times New Roman"/>
        </w:rPr>
        <w:t xml:space="preserve"> This was introduced in 2006 and remains unique to Victoria. It has been suspected to be a culprit in adjudication having relatively low usage in Victoria compared to other states, and its proposed removal was immediately welcomed by several prominent construction lawyers, noting the benefits not just for claimants but also for respondents who have not been able to set off liquidated damages in payment disputes under the Victorian Act.</w:t>
      </w:r>
      <w:r w:rsidRPr="00350378">
        <w:rPr>
          <w:rStyle w:val="EndnoteReference"/>
          <w:rFonts w:ascii="Times New Roman" w:hAnsi="Times New Roman" w:cs="Times New Roman"/>
        </w:rPr>
        <w:endnoteReference w:id="27"/>
      </w:r>
      <w:r w:rsidRPr="00350378">
        <w:rPr>
          <w:rFonts w:ascii="Times New Roman" w:hAnsi="Times New Roman" w:cs="Times New Roman"/>
        </w:rPr>
        <w:t xml:space="preserve"> </w:t>
      </w:r>
    </w:p>
    <w:p w14:paraId="0A3B3763" w14:textId="589F5F54" w:rsidR="0021668F" w:rsidRPr="00350378" w:rsidRDefault="0021668F" w:rsidP="00C20DC8">
      <w:pPr>
        <w:rPr>
          <w:rFonts w:ascii="Times New Roman" w:hAnsi="Times New Roman" w:cs="Times New Roman"/>
        </w:rPr>
      </w:pPr>
      <w:r w:rsidRPr="00350378">
        <w:rPr>
          <w:rFonts w:ascii="Times New Roman" w:hAnsi="Times New Roman" w:cs="Times New Roman"/>
        </w:rPr>
        <w:tab/>
        <w:t>The Inquiry had made 28 recommendations, of which the response supported 16 in full, two in part and 10 in principle. In essence, the adopted recommendations are largely based upon bringing Victoria’s Act more closely into line with the NSW and WA legislation, including by:</w:t>
      </w:r>
    </w:p>
    <w:p w14:paraId="144A0516" w14:textId="7AA1504A" w:rsidR="0021668F" w:rsidRPr="00350378" w:rsidRDefault="0021668F" w:rsidP="00913096">
      <w:pPr>
        <w:pStyle w:val="ListParagraph"/>
        <w:numPr>
          <w:ilvl w:val="0"/>
          <w:numId w:val="7"/>
        </w:numPr>
        <w:rPr>
          <w:rFonts w:ascii="Times New Roman" w:hAnsi="Times New Roman" w:cs="Times New Roman"/>
        </w:rPr>
      </w:pPr>
      <w:r w:rsidRPr="00350378">
        <w:rPr>
          <w:rFonts w:ascii="Times New Roman" w:hAnsi="Times New Roman" w:cs="Times New Roman"/>
        </w:rPr>
        <w:t>removing the concept of “reference dates”, as has been done in NSW (</w:t>
      </w:r>
      <w:r w:rsidRPr="00350378">
        <w:rPr>
          <w:rFonts w:ascii="Times New Roman" w:hAnsi="Times New Roman" w:cs="Times New Roman"/>
          <w:i/>
          <w:iCs/>
        </w:rPr>
        <w:t>recommendation 3</w:t>
      </w:r>
      <w:r w:rsidRPr="00350378">
        <w:rPr>
          <w:rFonts w:ascii="Times New Roman" w:hAnsi="Times New Roman" w:cs="Times New Roman"/>
        </w:rPr>
        <w:t>): the wisdom of this change is confirmed by recent caselaw reflecting that the application of the concept continues to cause unnecessary confusion</w:t>
      </w:r>
      <w:r w:rsidRPr="00350378">
        <w:rPr>
          <w:rStyle w:val="EndnoteReference"/>
          <w:rFonts w:ascii="Times New Roman" w:hAnsi="Times New Roman" w:cs="Times New Roman"/>
        </w:rPr>
        <w:endnoteReference w:id="28"/>
      </w:r>
    </w:p>
    <w:p w14:paraId="31D434D0" w14:textId="705A24A1" w:rsidR="0021668F" w:rsidRPr="00350378" w:rsidRDefault="0021668F" w:rsidP="00913096">
      <w:pPr>
        <w:pStyle w:val="ListParagraph"/>
        <w:numPr>
          <w:ilvl w:val="0"/>
          <w:numId w:val="7"/>
        </w:numPr>
        <w:rPr>
          <w:rFonts w:ascii="Times New Roman" w:hAnsi="Times New Roman" w:cs="Times New Roman"/>
        </w:rPr>
      </w:pPr>
      <w:r w:rsidRPr="00350378">
        <w:rPr>
          <w:rFonts w:ascii="Times New Roman" w:hAnsi="Times New Roman" w:cs="Times New Roman"/>
        </w:rPr>
        <w:t>amending the “business days” definition to suspend time running under the Act during the traditional industry shutdown from 22 December to 10 January (</w:t>
      </w:r>
      <w:r w:rsidRPr="00350378">
        <w:rPr>
          <w:rFonts w:ascii="Times New Roman" w:hAnsi="Times New Roman" w:cs="Times New Roman"/>
          <w:i/>
          <w:iCs/>
        </w:rPr>
        <w:t>recommendation 4</w:t>
      </w:r>
      <w:r w:rsidRPr="00350378">
        <w:rPr>
          <w:rFonts w:ascii="Times New Roman" w:hAnsi="Times New Roman" w:cs="Times New Roman"/>
        </w:rPr>
        <w:t>): whilst the response noted this to be “uncontroversial” because it stops Victoria being an national outlier (and no doubt will be welcomed by anyone who has had to respond to a payment claim or adjudication application during their Christmas holidays), it should nonetheless be recognised that the amendment, by reducing the possibility of “ambush” claims, removes a key aspect of the reversal of the privilege of non-payment which was part of the original intention of the legislation</w:t>
      </w:r>
      <w:r w:rsidRPr="00350378">
        <w:rPr>
          <w:rStyle w:val="EndnoteReference"/>
          <w:rFonts w:ascii="Times New Roman" w:hAnsi="Times New Roman" w:cs="Times New Roman"/>
        </w:rPr>
        <w:endnoteReference w:id="29"/>
      </w:r>
    </w:p>
    <w:p w14:paraId="21DB18F0" w14:textId="7BB73A21" w:rsidR="0021668F" w:rsidRPr="00350378" w:rsidRDefault="0021668F" w:rsidP="00125E51">
      <w:pPr>
        <w:pStyle w:val="ListParagraph"/>
        <w:numPr>
          <w:ilvl w:val="0"/>
          <w:numId w:val="7"/>
        </w:numPr>
        <w:rPr>
          <w:rFonts w:ascii="Times New Roman" w:hAnsi="Times New Roman" w:cs="Times New Roman"/>
        </w:rPr>
      </w:pPr>
      <w:r w:rsidRPr="00350378">
        <w:rPr>
          <w:rFonts w:ascii="Times New Roman" w:hAnsi="Times New Roman" w:cs="Times New Roman"/>
        </w:rPr>
        <w:t>mandating that contracts cannot provide for more than 25 business days after the claim for payment of claims under the Act (</w:t>
      </w:r>
      <w:r w:rsidRPr="00350378">
        <w:rPr>
          <w:rFonts w:ascii="Times New Roman" w:hAnsi="Times New Roman" w:cs="Times New Roman"/>
          <w:i/>
          <w:iCs/>
        </w:rPr>
        <w:t>recommendation 8),</w:t>
      </w:r>
      <w:r w:rsidRPr="00350378">
        <w:rPr>
          <w:rFonts w:ascii="Times New Roman" w:hAnsi="Times New Roman" w:cs="Times New Roman"/>
        </w:rPr>
        <w:t xml:space="preserve"> supplementing the existing provision that, if the contract does not otherwise provide, payment is due 10 business days after the claim;</w:t>
      </w:r>
      <w:r w:rsidRPr="00350378">
        <w:rPr>
          <w:rStyle w:val="EndnoteReference"/>
          <w:rFonts w:ascii="Times New Roman" w:hAnsi="Times New Roman" w:cs="Times New Roman"/>
        </w:rPr>
        <w:endnoteReference w:id="30"/>
      </w:r>
      <w:r w:rsidRPr="00350378">
        <w:rPr>
          <w:rFonts w:ascii="Times New Roman" w:hAnsi="Times New Roman" w:cs="Times New Roman"/>
        </w:rPr>
        <w:t xml:space="preserve"> this seems uncontroversial in the context of national harmonisation but again emphasises the norm-shifting ambitions of the legislation to override party autonomy in favour of cultural change</w:t>
      </w:r>
      <w:r w:rsidRPr="00350378">
        <w:rPr>
          <w:rStyle w:val="EndnoteReference"/>
          <w:rFonts w:ascii="Times New Roman" w:hAnsi="Times New Roman" w:cs="Times New Roman"/>
        </w:rPr>
        <w:endnoteReference w:id="31"/>
      </w:r>
    </w:p>
    <w:p w14:paraId="5F2317CC" w14:textId="0913FAB0" w:rsidR="0021668F" w:rsidRPr="00350378" w:rsidRDefault="0021668F" w:rsidP="00F73983">
      <w:pPr>
        <w:pStyle w:val="ListParagraph"/>
        <w:numPr>
          <w:ilvl w:val="0"/>
          <w:numId w:val="7"/>
        </w:numPr>
        <w:rPr>
          <w:rFonts w:ascii="Times New Roman" w:hAnsi="Times New Roman" w:cs="Times New Roman"/>
        </w:rPr>
      </w:pPr>
      <w:r w:rsidRPr="00350378">
        <w:rPr>
          <w:rFonts w:ascii="Times New Roman" w:hAnsi="Times New Roman" w:cs="Times New Roman"/>
        </w:rPr>
        <w:t>the possibility that notice-based time bar clauses (</w:t>
      </w:r>
      <w:r w:rsidRPr="00350378">
        <w:rPr>
          <w:rFonts w:ascii="Times New Roman" w:hAnsi="Times New Roman" w:cs="Times New Roman"/>
          <w:i/>
          <w:iCs/>
        </w:rPr>
        <w:t>recommendation 5</w:t>
      </w:r>
      <w:r w:rsidRPr="00350378">
        <w:rPr>
          <w:rFonts w:ascii="Times New Roman" w:hAnsi="Times New Roman" w:cs="Times New Roman"/>
        </w:rPr>
        <w:t>) or otherwise unfair terms identified by regulation (</w:t>
      </w:r>
      <w:r w:rsidRPr="00350378">
        <w:rPr>
          <w:rFonts w:ascii="Times New Roman" w:hAnsi="Times New Roman" w:cs="Times New Roman"/>
          <w:i/>
          <w:iCs/>
        </w:rPr>
        <w:t>recommendation 6</w:t>
      </w:r>
      <w:r w:rsidRPr="00350378">
        <w:rPr>
          <w:rFonts w:ascii="Times New Roman" w:hAnsi="Times New Roman" w:cs="Times New Roman"/>
        </w:rPr>
        <w:t xml:space="preserve">) may be rendered ineffective: this is derived from the </w:t>
      </w:r>
      <w:r w:rsidRPr="00350378">
        <w:rPr>
          <w:rFonts w:ascii="Times New Roman" w:hAnsi="Times New Roman" w:cs="Times New Roman"/>
          <w:i/>
          <w:iCs/>
        </w:rPr>
        <w:t>WA SOP Act</w:t>
      </w:r>
      <w:r w:rsidRPr="00350378">
        <w:rPr>
          <w:rFonts w:ascii="Times New Roman" w:hAnsi="Times New Roman" w:cs="Times New Roman"/>
        </w:rPr>
        <w:t xml:space="preserve"> (respectively, its ss 16 and 15) and potentially represents a significant additional route (in addition to the recently-expanded unfair contract terms regime under the Australian Consumer Law)</w:t>
      </w:r>
      <w:r w:rsidRPr="00350378">
        <w:rPr>
          <w:rStyle w:val="EndnoteReference"/>
          <w:rFonts w:ascii="Times New Roman" w:hAnsi="Times New Roman" w:cs="Times New Roman"/>
        </w:rPr>
        <w:endnoteReference w:id="32"/>
      </w:r>
      <w:r w:rsidRPr="00350378">
        <w:rPr>
          <w:rFonts w:ascii="Times New Roman" w:hAnsi="Times New Roman" w:cs="Times New Roman"/>
        </w:rPr>
        <w:t xml:space="preserve"> to challenging onerous (but, potentially justifiable) contract terms; it will therefore be instructive to keep track of consideration of these provisions as they come before the courts in WA, especially given the potential for conflict between the ACL and security of payment regimes.</w:t>
      </w:r>
    </w:p>
    <w:p w14:paraId="76B1DB41" w14:textId="49AAE7C3" w:rsidR="0021668F" w:rsidRPr="00350378" w:rsidRDefault="0021668F" w:rsidP="0061540F">
      <w:pPr>
        <w:rPr>
          <w:rFonts w:ascii="Times New Roman" w:hAnsi="Times New Roman" w:cs="Times New Roman"/>
        </w:rPr>
      </w:pPr>
      <w:r w:rsidRPr="00350378">
        <w:rPr>
          <w:rFonts w:ascii="Times New Roman" w:hAnsi="Times New Roman" w:cs="Times New Roman"/>
        </w:rPr>
        <w:t>Amongst the recommendations for which the government offered support in principle:</w:t>
      </w:r>
    </w:p>
    <w:p w14:paraId="3C8A10C9" w14:textId="1046955B" w:rsidR="0021668F" w:rsidRPr="00350378" w:rsidRDefault="0021668F" w:rsidP="00984B3C">
      <w:pPr>
        <w:pStyle w:val="ListParagraph"/>
        <w:numPr>
          <w:ilvl w:val="0"/>
          <w:numId w:val="8"/>
        </w:numPr>
        <w:rPr>
          <w:rFonts w:ascii="Times New Roman" w:hAnsi="Times New Roman" w:cs="Times New Roman"/>
        </w:rPr>
      </w:pPr>
      <w:r w:rsidRPr="00350378">
        <w:rPr>
          <w:rFonts w:ascii="Times New Roman" w:hAnsi="Times New Roman" w:cs="Times New Roman"/>
        </w:rPr>
        <w:t xml:space="preserve">it deferred to the review of the </w:t>
      </w:r>
      <w:r w:rsidRPr="00350378">
        <w:rPr>
          <w:rFonts w:ascii="Times New Roman" w:hAnsi="Times New Roman" w:cs="Times New Roman"/>
          <w:i/>
          <w:iCs/>
        </w:rPr>
        <w:t>Domestic Building Contracts Act</w:t>
      </w:r>
      <w:r w:rsidRPr="00350378">
        <w:rPr>
          <w:rStyle w:val="EndnoteReference"/>
          <w:rFonts w:ascii="Times New Roman" w:hAnsi="Times New Roman" w:cs="Times New Roman"/>
        </w:rPr>
        <w:endnoteReference w:id="33"/>
      </w:r>
      <w:r w:rsidRPr="00350378">
        <w:rPr>
          <w:rFonts w:ascii="Times New Roman" w:hAnsi="Times New Roman" w:cs="Times New Roman"/>
          <w:i/>
          <w:iCs/>
        </w:rPr>
        <w:t xml:space="preserve"> </w:t>
      </w:r>
      <w:r w:rsidRPr="00350378">
        <w:rPr>
          <w:rFonts w:ascii="Times New Roman" w:hAnsi="Times New Roman" w:cs="Times New Roman"/>
        </w:rPr>
        <w:t>the question of whether – as has happened in NSW, Tasmania and WA – the Act should apply more widely to residential building contracts between the owner and builder (recommendation 10) - there is currently a complicated system of gateways based upon whether the owner is “in the business of building residences”;</w:t>
      </w:r>
      <w:r w:rsidRPr="00350378">
        <w:rPr>
          <w:rStyle w:val="EndnoteReference"/>
          <w:rFonts w:ascii="Times New Roman" w:hAnsi="Times New Roman" w:cs="Times New Roman"/>
        </w:rPr>
        <w:endnoteReference w:id="34"/>
      </w:r>
      <w:r w:rsidRPr="00350378">
        <w:rPr>
          <w:rFonts w:ascii="Times New Roman" w:hAnsi="Times New Roman" w:cs="Times New Roman"/>
        </w:rPr>
        <w:t xml:space="preserve"> this deferral seems appropriate given the interplay between the payment timings under the two Acts and also the critical need for consumer information if those processes are to be dovetailed</w:t>
      </w:r>
    </w:p>
    <w:p w14:paraId="6F97AE7F" w14:textId="06DA18E0" w:rsidR="0021668F" w:rsidRPr="00350378" w:rsidRDefault="0021668F" w:rsidP="00984B3C">
      <w:pPr>
        <w:pStyle w:val="ListParagraph"/>
        <w:numPr>
          <w:ilvl w:val="0"/>
          <w:numId w:val="8"/>
        </w:numPr>
        <w:rPr>
          <w:rFonts w:ascii="Times New Roman" w:hAnsi="Times New Roman" w:cs="Times New Roman"/>
        </w:rPr>
      </w:pPr>
      <w:r w:rsidRPr="00350378">
        <w:rPr>
          <w:rFonts w:ascii="Times New Roman" w:hAnsi="Times New Roman" w:cs="Times New Roman"/>
        </w:rPr>
        <w:t>in relation to cascading statutory trusts (recommendation 27) and retention trusts (recommendation 28), the government signalled a desire for more information about the experience in other states before committing to reforms; this seems a sensible response to the fact that the “jury remains out” on whether these mechanisms are an effective part of the broader scheme to promote cashflow.</w:t>
      </w:r>
      <w:r w:rsidRPr="00350378">
        <w:rPr>
          <w:rStyle w:val="EndnoteReference"/>
          <w:rFonts w:ascii="Times New Roman" w:hAnsi="Times New Roman" w:cs="Times New Roman"/>
        </w:rPr>
        <w:endnoteReference w:id="35"/>
      </w:r>
    </w:p>
    <w:p w14:paraId="605EEAE2" w14:textId="690C5E48" w:rsidR="0021668F" w:rsidRPr="00350378" w:rsidRDefault="0021668F" w:rsidP="00AA0127">
      <w:pPr>
        <w:pStyle w:val="Heading1"/>
        <w:rPr>
          <w:rFonts w:ascii="Optima" w:hAnsi="Optima" w:cs="Times New Roman"/>
          <w:color w:val="000000" w:themeColor="text1"/>
        </w:rPr>
      </w:pPr>
      <w:r w:rsidRPr="00350378">
        <w:rPr>
          <w:rFonts w:ascii="Optima" w:hAnsi="Optima" w:cs="Times New Roman"/>
          <w:color w:val="000000" w:themeColor="text1"/>
        </w:rPr>
        <w:t>Has the crisis been wasted?</w:t>
      </w:r>
    </w:p>
    <w:p w14:paraId="01323A3D" w14:textId="4E231050" w:rsidR="0021668F" w:rsidRPr="00350378" w:rsidRDefault="0021668F" w:rsidP="0061540F">
      <w:pPr>
        <w:rPr>
          <w:rFonts w:ascii="Times New Roman" w:hAnsi="Times New Roman" w:cs="Times New Roman"/>
        </w:rPr>
      </w:pPr>
      <w:r w:rsidRPr="00350378">
        <w:rPr>
          <w:rFonts w:ascii="Times New Roman" w:hAnsi="Times New Roman" w:cs="Times New Roman"/>
        </w:rPr>
        <w:t>The title of this article incorporates a quote attributed – seemingly, without basis except that it may be seen to reflect a stoic</w:t>
      </w:r>
      <w:r w:rsidRPr="00350378">
        <w:rPr>
          <w:rFonts w:ascii="Times New Roman" w:hAnsi="Times New Roman" w:cs="Times New Roman"/>
        </w:rPr>
        <w:t xml:space="preserve"> view</w:t>
      </w:r>
      <w:r w:rsidRPr="00350378">
        <w:rPr>
          <w:rFonts w:ascii="Times New Roman" w:hAnsi="Times New Roman" w:cs="Times New Roman"/>
        </w:rPr>
        <w:t>,</w:t>
      </w:r>
      <w:r w:rsidRPr="00350378">
        <w:rPr>
          <w:rFonts w:ascii="Times New Roman" w:hAnsi="Times New Roman" w:cs="Times New Roman"/>
        </w:rPr>
        <w:t xml:space="preserve"> </w:t>
      </w:r>
      <w:r w:rsidRPr="00350378">
        <w:rPr>
          <w:rFonts w:ascii="Times New Roman" w:hAnsi="Times New Roman" w:cs="Times New Roman"/>
        </w:rPr>
        <w:t>forged by his unequalled experience, of political expediency – to Winston Churchill. It suggests that we should judge the likely success of the proposed Victorian reforms by the low bar of whether they avoid wasting the “crisis” by at least “doing something”. That is indeed too low a bar for such ambitious and extensive reforms, many of which (including the moves towards security of payment harmonisation) have been worked on by many members of our construction law community for well over a decade.</w:t>
      </w:r>
      <w:r w:rsidRPr="00350378">
        <w:rPr>
          <w:rStyle w:val="EndnoteReference"/>
          <w:rFonts w:ascii="Times New Roman" w:hAnsi="Times New Roman" w:cs="Times New Roman"/>
        </w:rPr>
        <w:endnoteReference w:id="36"/>
      </w:r>
    </w:p>
    <w:p w14:paraId="2494D23F" w14:textId="0F496F39" w:rsidR="0021668F" w:rsidRPr="00350378" w:rsidRDefault="0021668F" w:rsidP="0061540F">
      <w:pPr>
        <w:rPr>
          <w:rFonts w:ascii="Times New Roman" w:hAnsi="Times New Roman" w:cs="Times New Roman"/>
        </w:rPr>
      </w:pPr>
      <w:r w:rsidRPr="00350378">
        <w:rPr>
          <w:rFonts w:ascii="Times New Roman" w:hAnsi="Times New Roman" w:cs="Times New Roman"/>
        </w:rPr>
        <w:tab/>
        <w:t xml:space="preserve">In my 2023 </w:t>
      </w:r>
      <w:r w:rsidRPr="00350378">
        <w:rPr>
          <w:rFonts w:ascii="Times New Roman" w:hAnsi="Times New Roman" w:cs="Times New Roman"/>
          <w:i/>
          <w:iCs/>
        </w:rPr>
        <w:t xml:space="preserve">Monash University Law Review </w:t>
      </w:r>
      <w:r w:rsidRPr="00350378">
        <w:rPr>
          <w:rFonts w:ascii="Times New Roman" w:hAnsi="Times New Roman" w:cs="Times New Roman"/>
        </w:rPr>
        <w:t>article, I laid out in some detail the reasons why I think that effective regulatory reform in the construction sphere can be measured by reference to six design principles:</w:t>
      </w:r>
      <w:r w:rsidRPr="00350378">
        <w:rPr>
          <w:rStyle w:val="EndnoteReference"/>
          <w:rFonts w:ascii="Times New Roman" w:hAnsi="Times New Roman" w:cs="Times New Roman"/>
        </w:rPr>
        <w:endnoteReference w:id="37"/>
      </w:r>
    </w:p>
    <w:p w14:paraId="250AB054" w14:textId="77777777" w:rsidR="0021668F" w:rsidRPr="00350378" w:rsidRDefault="0021668F" w:rsidP="00E7677F">
      <w:pPr>
        <w:pStyle w:val="ListParagraph"/>
        <w:numPr>
          <w:ilvl w:val="0"/>
          <w:numId w:val="9"/>
        </w:numPr>
        <w:rPr>
          <w:rFonts w:ascii="Times New Roman" w:hAnsi="Times New Roman" w:cs="Times New Roman"/>
        </w:rPr>
      </w:pPr>
      <w:r w:rsidRPr="00350378">
        <w:rPr>
          <w:rFonts w:ascii="Times New Roman" w:hAnsi="Times New Roman" w:cs="Times New Roman"/>
        </w:rPr>
        <w:t>occupant health and safety is paramount</w:t>
      </w:r>
    </w:p>
    <w:p w14:paraId="40BC5283" w14:textId="1974808A" w:rsidR="0021668F" w:rsidRPr="00350378" w:rsidRDefault="0021668F" w:rsidP="00E7677F">
      <w:pPr>
        <w:pStyle w:val="ListParagraph"/>
        <w:numPr>
          <w:ilvl w:val="0"/>
          <w:numId w:val="9"/>
        </w:numPr>
        <w:rPr>
          <w:rFonts w:ascii="Times New Roman" w:hAnsi="Times New Roman" w:cs="Times New Roman"/>
        </w:rPr>
      </w:pPr>
      <w:r w:rsidRPr="00350378">
        <w:rPr>
          <w:rFonts w:ascii="Times New Roman" w:hAnsi="Times New Roman" w:cs="Times New Roman"/>
        </w:rPr>
        <w:t>prevention is better than cure</w:t>
      </w:r>
    </w:p>
    <w:p w14:paraId="434A8C19" w14:textId="3AD055DE" w:rsidR="0021668F" w:rsidRPr="00350378" w:rsidRDefault="0021668F" w:rsidP="00E7677F">
      <w:pPr>
        <w:pStyle w:val="ListParagraph"/>
        <w:numPr>
          <w:ilvl w:val="0"/>
          <w:numId w:val="9"/>
        </w:numPr>
        <w:rPr>
          <w:rFonts w:ascii="Times New Roman" w:hAnsi="Times New Roman" w:cs="Times New Roman"/>
        </w:rPr>
      </w:pPr>
      <w:r w:rsidRPr="00350378">
        <w:rPr>
          <w:rFonts w:ascii="Times New Roman" w:hAnsi="Times New Roman" w:cs="Times New Roman"/>
        </w:rPr>
        <w:t>risk and control are the foundation for standards-setting and decision making</w:t>
      </w:r>
    </w:p>
    <w:p w14:paraId="3974B5DD" w14:textId="4E36B76C" w:rsidR="0021668F" w:rsidRPr="00350378" w:rsidRDefault="0021668F" w:rsidP="00E7677F">
      <w:pPr>
        <w:pStyle w:val="ListParagraph"/>
        <w:numPr>
          <w:ilvl w:val="0"/>
          <w:numId w:val="9"/>
        </w:numPr>
        <w:rPr>
          <w:rFonts w:ascii="Times New Roman" w:hAnsi="Times New Roman" w:cs="Times New Roman"/>
        </w:rPr>
      </w:pPr>
      <w:r w:rsidRPr="00350378">
        <w:rPr>
          <w:rFonts w:ascii="Times New Roman" w:hAnsi="Times New Roman" w:cs="Times New Roman"/>
        </w:rPr>
        <w:t>industry-based norms are to be harnessed, consistent with the regulatory goal</w:t>
      </w:r>
    </w:p>
    <w:p w14:paraId="58FAC881" w14:textId="27EAE5EA" w:rsidR="0021668F" w:rsidRPr="00350378" w:rsidRDefault="0021668F" w:rsidP="00BA3F49">
      <w:pPr>
        <w:pStyle w:val="ListParagraph"/>
        <w:numPr>
          <w:ilvl w:val="0"/>
          <w:numId w:val="9"/>
        </w:numPr>
        <w:rPr>
          <w:rFonts w:ascii="Times New Roman" w:hAnsi="Times New Roman" w:cs="Times New Roman"/>
        </w:rPr>
      </w:pPr>
      <w:r w:rsidRPr="00350378">
        <w:rPr>
          <w:rFonts w:ascii="Times New Roman" w:hAnsi="Times New Roman" w:cs="Times New Roman"/>
        </w:rPr>
        <w:t>vulnerability sets the boundary for legislative intervention</w:t>
      </w:r>
    </w:p>
    <w:p w14:paraId="2573FEFB" w14:textId="3F81C3E3" w:rsidR="0021668F" w:rsidRPr="00350378" w:rsidRDefault="0021668F" w:rsidP="00BA3F49">
      <w:pPr>
        <w:pStyle w:val="ListParagraph"/>
        <w:numPr>
          <w:ilvl w:val="0"/>
          <w:numId w:val="9"/>
        </w:numPr>
        <w:rPr>
          <w:rFonts w:ascii="Times New Roman" w:hAnsi="Times New Roman" w:cs="Times New Roman"/>
        </w:rPr>
      </w:pPr>
      <w:r w:rsidRPr="00350378">
        <w:rPr>
          <w:rFonts w:ascii="Times New Roman" w:hAnsi="Times New Roman" w:cs="Times New Roman"/>
        </w:rPr>
        <w:t>the “buck” should stop somewhere.</w:t>
      </w:r>
    </w:p>
    <w:p w14:paraId="5BB5438C" w14:textId="042D8098" w:rsidR="0021668F" w:rsidRPr="00350378" w:rsidRDefault="0021668F" w:rsidP="00F8002F">
      <w:pPr>
        <w:rPr>
          <w:rFonts w:ascii="Times New Roman" w:hAnsi="Times New Roman" w:cs="Times New Roman"/>
        </w:rPr>
      </w:pPr>
      <w:r w:rsidRPr="00350378">
        <w:rPr>
          <w:rFonts w:ascii="Times New Roman" w:hAnsi="Times New Roman" w:cs="Times New Roman"/>
        </w:rPr>
        <w:t>In my view, the manner in which the reform proposals have been released, and the detail so far available in relation to them, ticks a number of the boxes across these six principles. One of the most impressive elements, to my mind, was that the announcement of the shift to the new regulator was accompanied by a report commissioned by the VBA and authored by Bronwyn Weir,</w:t>
      </w:r>
      <w:bookmarkStart w:id="11" w:name="_Ref181215368"/>
      <w:r w:rsidRPr="00350378">
        <w:rPr>
          <w:rStyle w:val="EndnoteReference"/>
          <w:rFonts w:ascii="Times New Roman" w:hAnsi="Times New Roman" w:cs="Times New Roman"/>
        </w:rPr>
        <w:endnoteReference w:id="38"/>
      </w:r>
      <w:bookmarkEnd w:id="11"/>
      <w:r w:rsidRPr="00350378">
        <w:rPr>
          <w:rFonts w:ascii="Times New Roman" w:hAnsi="Times New Roman" w:cs="Times New Roman"/>
        </w:rPr>
        <w:t xml:space="preserve"> who has been at forefront of reform programs across Australia since she and Peter Shergold AC published their </w:t>
      </w:r>
      <w:r w:rsidRPr="00350378">
        <w:rPr>
          <w:rFonts w:ascii="Times New Roman" w:hAnsi="Times New Roman" w:cs="Times New Roman"/>
          <w:i/>
          <w:iCs/>
        </w:rPr>
        <w:t xml:space="preserve">Building Confidence </w:t>
      </w:r>
      <w:r w:rsidRPr="00350378">
        <w:rPr>
          <w:rFonts w:ascii="Times New Roman" w:hAnsi="Times New Roman" w:cs="Times New Roman"/>
        </w:rPr>
        <w:t>report for the Building Ministers’ Forum in 2018.</w:t>
      </w:r>
      <w:r w:rsidRPr="00350378">
        <w:rPr>
          <w:rStyle w:val="EndnoteReference"/>
          <w:rFonts w:ascii="Times New Roman" w:hAnsi="Times New Roman" w:cs="Times New Roman"/>
        </w:rPr>
        <w:endnoteReference w:id="39"/>
      </w:r>
      <w:r w:rsidRPr="00350378">
        <w:rPr>
          <w:rFonts w:ascii="Times New Roman" w:hAnsi="Times New Roman" w:cs="Times New Roman"/>
        </w:rPr>
        <w:t xml:space="preserve"> October’s Weir report gave stark insights into the angst faced by consumers in the residential construction sphere by reference to seven case studies. Its findings underpinned a powerful statement from the VBA CEO and Commissioner, Anna Cronin, where she apologised for past failings and was explicit that “Victorians should expect nothing less than buildings that are safe to occupy, compliant with legislation and regulations and built to last.”</w:t>
      </w:r>
      <w:r w:rsidRPr="00350378">
        <w:rPr>
          <w:rStyle w:val="EndnoteReference"/>
          <w:rFonts w:ascii="Times New Roman" w:hAnsi="Times New Roman" w:cs="Times New Roman"/>
        </w:rPr>
        <w:endnoteReference w:id="40"/>
      </w:r>
    </w:p>
    <w:p w14:paraId="394BCBD4" w14:textId="5240493F" w:rsidR="0021668F" w:rsidRPr="00350378" w:rsidRDefault="0021668F" w:rsidP="00F8002F">
      <w:pPr>
        <w:rPr>
          <w:rFonts w:ascii="Times New Roman" w:hAnsi="Times New Roman" w:cs="Times New Roman"/>
        </w:rPr>
      </w:pPr>
      <w:r w:rsidRPr="00350378">
        <w:rPr>
          <w:rFonts w:ascii="Times New Roman" w:hAnsi="Times New Roman" w:cs="Times New Roman"/>
        </w:rPr>
        <w:tab/>
        <w:t xml:space="preserve">These actions show a strong intent towards satisfying </w:t>
      </w:r>
      <w:r w:rsidRPr="00350378">
        <w:rPr>
          <w:rFonts w:ascii="Times New Roman" w:hAnsi="Times New Roman" w:cs="Times New Roman"/>
          <w:i/>
          <w:iCs/>
        </w:rPr>
        <w:t>principles 1, 2 and 6</w:t>
      </w:r>
      <w:r w:rsidRPr="00350378">
        <w:rPr>
          <w:rFonts w:ascii="Times New Roman" w:hAnsi="Times New Roman" w:cs="Times New Roman"/>
        </w:rPr>
        <w:t xml:space="preserve"> of the list above; indeed, Cronin’s acceptance of responsibility along with her support of the new integrated regulator speaks particularly strongly to </w:t>
      </w:r>
      <w:r w:rsidRPr="00350378">
        <w:rPr>
          <w:rFonts w:ascii="Times New Roman" w:hAnsi="Times New Roman" w:cs="Times New Roman"/>
          <w:i/>
          <w:iCs/>
        </w:rPr>
        <w:t>principle 6</w:t>
      </w:r>
      <w:r w:rsidRPr="00350378">
        <w:rPr>
          <w:rFonts w:ascii="Times New Roman" w:hAnsi="Times New Roman" w:cs="Times New Roman"/>
        </w:rPr>
        <w:t xml:space="preserve">. However, as anyone who has followed regulatory reforms in the construction industry knows, actions speak immeasurably louder than words. The complexities involved in construction regulation, including its deeply-rooted vested interests, mean that striking an appropriate balance in the wording and processes of the reforms remains a fraught task, especially given the nuance underpinning </w:t>
      </w:r>
      <w:r w:rsidRPr="00350378">
        <w:rPr>
          <w:rFonts w:ascii="Times New Roman" w:hAnsi="Times New Roman" w:cs="Times New Roman"/>
          <w:i/>
          <w:iCs/>
        </w:rPr>
        <w:t>principles 3-6</w:t>
      </w:r>
      <w:r w:rsidRPr="00350378">
        <w:rPr>
          <w:rFonts w:ascii="Times New Roman" w:hAnsi="Times New Roman" w:cs="Times New Roman"/>
        </w:rPr>
        <w:t xml:space="preserve">. </w:t>
      </w:r>
    </w:p>
    <w:p w14:paraId="19474B86" w14:textId="54AD7EC4" w:rsidR="0021668F" w:rsidRPr="00350378" w:rsidRDefault="0021668F" w:rsidP="00F8002F">
      <w:pPr>
        <w:rPr>
          <w:rFonts w:ascii="Times New Roman" w:hAnsi="Times New Roman" w:cs="Times New Roman"/>
        </w:rPr>
      </w:pPr>
      <w:r w:rsidRPr="00350378">
        <w:rPr>
          <w:rFonts w:ascii="Times New Roman" w:hAnsi="Times New Roman" w:cs="Times New Roman"/>
        </w:rPr>
        <w:tab/>
        <w:t>It is to be hoped, however, that everyone who has a hand in the reforms’ implementation – whether as policymakers, practitioners or the broader community – remains motivated by knowledge of what can happen when building regulation fails. The Grenfell Tower Inquiry’s Phase 2 Report provided a devastating reminder of the consequences of catastrophic failure when it was published in September;</w:t>
      </w:r>
      <w:r w:rsidRPr="00350378">
        <w:rPr>
          <w:rStyle w:val="EndnoteReference"/>
          <w:rFonts w:ascii="Times New Roman" w:hAnsi="Times New Roman" w:cs="Times New Roman"/>
        </w:rPr>
        <w:endnoteReference w:id="41"/>
      </w:r>
      <w:r w:rsidRPr="00350378">
        <w:rPr>
          <w:rFonts w:ascii="Times New Roman" w:hAnsi="Times New Roman" w:cs="Times New Roman"/>
        </w:rPr>
        <w:t xml:space="preserve"> the Weir report has now given compelling insights into the everyday reality faced by so many people living with defective or incomplete work in their homes across Victoria:</w:t>
      </w:r>
    </w:p>
    <w:p w14:paraId="1E4610BC" w14:textId="15C0BC8B" w:rsidR="0021668F" w:rsidRPr="00350378" w:rsidRDefault="0021668F" w:rsidP="002D6ABD">
      <w:pPr>
        <w:ind w:left="720"/>
        <w:rPr>
          <w:rFonts w:ascii="Times New Roman" w:hAnsi="Times New Roman" w:cs="Times New Roman"/>
        </w:rPr>
      </w:pPr>
      <w:r w:rsidRPr="00350378">
        <w:rPr>
          <w:rFonts w:ascii="Times New Roman" w:hAnsi="Times New Roman" w:cs="Times New Roman"/>
        </w:rPr>
        <w:t>the experience these complainants have had in their interactions with building practitioners, the VBA, other building regulators and the legal system has been appalling. To say that each and every one of them has suffered and continues to suffer significant financial, emotional and health issues is an understatement. … They have put their lives on hold, not knowing what the outcome will be, how they will pay to rectify defects and/or complete their homes, and when the costs they are paying will end.</w:t>
      </w:r>
      <w:r w:rsidRPr="00350378">
        <w:rPr>
          <w:rStyle w:val="EndnoteReference"/>
          <w:rFonts w:ascii="Times New Roman" w:hAnsi="Times New Roman" w:cs="Times New Roman"/>
        </w:rPr>
        <w:endnoteReference w:id="42"/>
      </w:r>
      <w:r w:rsidR="00C80980" w:rsidRPr="00350378">
        <w:rPr>
          <w:rFonts w:ascii="Times New Roman" w:hAnsi="Times New Roman" w:cs="Times New Roman"/>
        </w:rPr>
        <w:t xml:space="preserve"> </w:t>
      </w:r>
    </w:p>
    <w:p w14:paraId="45578BF1" w14:textId="77777777" w:rsidR="00BE5650" w:rsidRPr="00350378" w:rsidRDefault="00BE5650" w:rsidP="00F8002F">
      <w:pPr>
        <w:rPr>
          <w:rFonts w:ascii="Times New Roman" w:hAnsi="Times New Roman" w:cs="Times New Roman"/>
        </w:rPr>
      </w:pPr>
    </w:p>
    <w:p w14:paraId="52A3552B" w14:textId="4430A56E" w:rsidR="003C54BC" w:rsidRPr="00350378" w:rsidRDefault="00BE5650" w:rsidP="00F8002F">
      <w:pPr>
        <w:rPr>
          <w:rFonts w:ascii="Times New Roman" w:hAnsi="Times New Roman" w:cs="Times New Roman"/>
          <w:i/>
          <w:iCs/>
        </w:rPr>
      </w:pPr>
      <w:r w:rsidRPr="00350378">
        <w:rPr>
          <w:rFonts w:ascii="Times New Roman" w:hAnsi="Times New Roman" w:cs="Times New Roman"/>
        </w:rPr>
        <w:t xml:space="preserve"> </w:t>
      </w:r>
      <w:r w:rsidRPr="00350378">
        <w:rPr>
          <w:rFonts w:ascii="Times New Roman" w:hAnsi="Times New Roman" w:cs="Times New Roman"/>
          <w:i/>
          <w:iCs/>
        </w:rPr>
        <w:t xml:space="preserve"> </w:t>
      </w:r>
    </w:p>
    <w:p w14:paraId="7245E3B4" w14:textId="14710C41" w:rsidR="00AA0127" w:rsidRPr="00350378" w:rsidRDefault="00AA0127" w:rsidP="0061540F">
      <w:pPr>
        <w:rPr>
          <w:rFonts w:ascii="Times New Roman" w:hAnsi="Times New Roman" w:cs="Times New Roman"/>
        </w:rPr>
      </w:pPr>
    </w:p>
    <w:p w14:paraId="5C55AEC1" w14:textId="6D090B2A" w:rsidR="0061540F" w:rsidRPr="00350378" w:rsidRDefault="00FE65AF" w:rsidP="00773133">
      <w:pPr>
        <w:pStyle w:val="Heading1"/>
        <w:rPr>
          <w:rFonts w:ascii="Times New Roman" w:hAnsi="Times New Roman" w:cs="Times New Roman"/>
          <w:b/>
          <w:bCs/>
          <w:i/>
          <w:iCs/>
          <w:color w:val="000000" w:themeColor="text1"/>
          <w:sz w:val="24"/>
          <w:szCs w:val="24"/>
        </w:rPr>
      </w:pPr>
      <w:r w:rsidRPr="00350378">
        <w:rPr>
          <w:rFonts w:ascii="Times New Roman" w:hAnsi="Times New Roman" w:cs="Times New Roman"/>
          <w:i/>
          <w:iCs/>
          <w:noProof/>
          <w:color w:val="000000" w:themeColor="text1"/>
          <w:sz w:val="24"/>
          <w:szCs w:val="24"/>
        </w:rPr>
        <w:drawing>
          <wp:anchor distT="0" distB="0" distL="114300" distR="114300" simplePos="0" relativeHeight="251658240" behindDoc="1" locked="0" layoutInCell="1" allowOverlap="1" wp14:anchorId="39F4A4EB" wp14:editId="4BBCC14F">
            <wp:simplePos x="0" y="0"/>
            <wp:positionH relativeFrom="column">
              <wp:posOffset>0</wp:posOffset>
            </wp:positionH>
            <wp:positionV relativeFrom="paragraph">
              <wp:posOffset>152400</wp:posOffset>
            </wp:positionV>
            <wp:extent cx="990000" cy="1144800"/>
            <wp:effectExtent l="0" t="0" r="635" b="0"/>
            <wp:wrapTight wrapText="bothSides">
              <wp:wrapPolygon edited="0">
                <wp:start x="0" y="0"/>
                <wp:lineTo x="0" y="21336"/>
                <wp:lineTo x="21337" y="21336"/>
                <wp:lineTo x="21337" y="0"/>
                <wp:lineTo x="0" y="0"/>
              </wp:wrapPolygon>
            </wp:wrapTight>
            <wp:docPr id="1" name="Picture 1" descr="A person wearing glasses and a v-neck swe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 and a v-neck sweater&#10;&#10;Description automatically generated"/>
                    <pic:cNvPicPr/>
                  </pic:nvPicPr>
                  <pic:blipFill rotWithShape="1">
                    <a:blip r:embed="rId8" cstate="print">
                      <a:extLst>
                        <a:ext uri="{28A0092B-C50C-407E-A947-70E740481C1C}">
                          <a14:useLocalDpi xmlns:a14="http://schemas.microsoft.com/office/drawing/2010/main" val="0"/>
                        </a:ext>
                      </a:extLst>
                    </a:blip>
                    <a:srcRect b="23054"/>
                    <a:stretch/>
                  </pic:blipFill>
                  <pic:spPr bwMode="auto">
                    <a:xfrm>
                      <a:off x="0" y="0"/>
                      <a:ext cx="990000" cy="114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50378">
        <w:rPr>
          <w:rFonts w:ascii="Times New Roman" w:hAnsi="Times New Roman" w:cs="Times New Roman"/>
          <w:b/>
          <w:bCs/>
          <w:i/>
          <w:iCs/>
          <w:color w:val="000000" w:themeColor="text1"/>
          <w:sz w:val="24"/>
          <w:szCs w:val="24"/>
        </w:rPr>
        <w:t>Dr Matthew Bell</w:t>
      </w:r>
    </w:p>
    <w:p w14:paraId="0EFE449E" w14:textId="325C007E" w:rsidR="00FE65AF" w:rsidRPr="00350378" w:rsidRDefault="00FE65AF" w:rsidP="00FE65AF">
      <w:pPr>
        <w:rPr>
          <w:rFonts w:ascii="Times New Roman" w:hAnsi="Times New Roman" w:cs="Times New Roman"/>
          <w:i/>
          <w:iCs/>
          <w:color w:val="000000" w:themeColor="text1"/>
        </w:rPr>
      </w:pPr>
      <w:r w:rsidRPr="00350378">
        <w:rPr>
          <w:rFonts w:ascii="Times New Roman" w:hAnsi="Times New Roman" w:cs="Times New Roman"/>
          <w:i/>
          <w:iCs/>
          <w:color w:val="000000" w:themeColor="text1"/>
        </w:rPr>
        <w:t>Associate Professor and Co-Director of Studies for Construction Law, Melbourne Law School, The University of Melbourne</w:t>
      </w:r>
    </w:p>
    <w:p w14:paraId="6D74F1C8" w14:textId="6CEE41FB" w:rsidR="002F4A2A" w:rsidRPr="00350378" w:rsidRDefault="002F4A2A" w:rsidP="002F4A2A">
      <w:pPr>
        <w:rPr>
          <w:rFonts w:ascii="Times New Roman" w:hAnsi="Times New Roman" w:cs="Times New Roman"/>
          <w:color w:val="000000" w:themeColor="text1"/>
        </w:rPr>
      </w:pPr>
    </w:p>
    <w:p w14:paraId="0B6633B9" w14:textId="6ADAE54B" w:rsidR="002F4A2A" w:rsidRPr="00350378" w:rsidRDefault="002F4A2A" w:rsidP="002F4A2A">
      <w:pPr>
        <w:rPr>
          <w:rFonts w:ascii="Times New Roman" w:hAnsi="Times New Roman" w:cs="Times New Roman"/>
        </w:rPr>
      </w:pPr>
    </w:p>
    <w:p w14:paraId="6A9B6B13" w14:textId="77777777" w:rsidR="002F4A2A" w:rsidRPr="00350378" w:rsidRDefault="002F4A2A" w:rsidP="002F4A2A">
      <w:pPr>
        <w:rPr>
          <w:rFonts w:ascii="Times New Roman" w:hAnsi="Times New Roman" w:cs="Times New Roman"/>
        </w:rPr>
      </w:pPr>
    </w:p>
    <w:p w14:paraId="16BFD79E" w14:textId="6DC08E9F" w:rsidR="00202FE3" w:rsidRPr="00350378" w:rsidRDefault="00B55AA9" w:rsidP="002F37B2">
      <w:pPr>
        <w:rPr>
          <w:rFonts w:ascii="Times New Roman" w:hAnsi="Times New Roman" w:cs="Times New Roman"/>
        </w:rPr>
      </w:pPr>
      <w:r w:rsidRPr="00350378">
        <w:rPr>
          <w:rFonts w:ascii="Times New Roman" w:hAnsi="Times New Roman" w:cs="Times New Roman"/>
        </w:rPr>
        <w:t xml:space="preserve"> </w:t>
      </w:r>
      <w:r w:rsidR="002C32EB" w:rsidRPr="00350378">
        <w:rPr>
          <w:rFonts w:ascii="Times New Roman" w:hAnsi="Times New Roman" w:cs="Times New Roman"/>
        </w:rPr>
        <w:t xml:space="preserve"> </w:t>
      </w:r>
    </w:p>
    <w:p w14:paraId="470B3A82" w14:textId="77777777" w:rsidR="00202FE3" w:rsidRPr="00350378" w:rsidRDefault="00202FE3" w:rsidP="002F37B2">
      <w:pPr>
        <w:rPr>
          <w:rFonts w:ascii="Times New Roman" w:hAnsi="Times New Roman" w:cs="Times New Roman"/>
        </w:rPr>
      </w:pPr>
    </w:p>
    <w:p w14:paraId="6EE12C22" w14:textId="77777777" w:rsidR="0076541F" w:rsidRPr="00350378" w:rsidRDefault="0076541F" w:rsidP="002F37B2">
      <w:pPr>
        <w:rPr>
          <w:rFonts w:ascii="Times New Roman" w:hAnsi="Times New Roman" w:cs="Times New Roman"/>
        </w:rPr>
      </w:pPr>
    </w:p>
    <w:p w14:paraId="2EF67D39" w14:textId="77777777" w:rsidR="00BD2A79" w:rsidRPr="00350378" w:rsidRDefault="00BD2A79" w:rsidP="002F37B2">
      <w:pPr>
        <w:rPr>
          <w:rFonts w:ascii="Times New Roman" w:hAnsi="Times New Roman" w:cs="Times New Roman"/>
        </w:rPr>
      </w:pPr>
    </w:p>
    <w:p w14:paraId="564E8E7A" w14:textId="736F2BCF" w:rsidR="00C20A9E" w:rsidRPr="00350378" w:rsidRDefault="00C80980" w:rsidP="00C80980">
      <w:pPr>
        <w:pStyle w:val="Heading1"/>
        <w:rPr>
          <w:rFonts w:ascii="Times New Roman" w:hAnsi="Times New Roman" w:cs="Times New Roman"/>
        </w:rPr>
      </w:pPr>
      <w:r w:rsidRPr="00350378">
        <w:rPr>
          <w:rFonts w:ascii="Times New Roman" w:hAnsi="Times New Roman" w:cs="Times New Roman"/>
          <w:color w:val="000000" w:themeColor="text1"/>
        </w:rPr>
        <w:t>Endnotes</w:t>
      </w:r>
    </w:p>
    <w:sectPr w:rsidR="00C20A9E" w:rsidRPr="00350378" w:rsidSect="00B11682">
      <w:footerReference w:type="even" r:id="rId9"/>
      <w:footerReference w:type="default" r:id="rId10"/>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12194" w14:textId="77777777" w:rsidR="00634725" w:rsidRDefault="00634725" w:rsidP="00634725">
      <w:r>
        <w:separator/>
      </w:r>
    </w:p>
  </w:endnote>
  <w:endnote w:type="continuationSeparator" w:id="0">
    <w:p w14:paraId="567D048B" w14:textId="77777777" w:rsidR="00634725" w:rsidRDefault="00634725" w:rsidP="00634725">
      <w:r>
        <w:continuationSeparator/>
      </w:r>
    </w:p>
  </w:endnote>
  <w:endnote w:id="1">
    <w:p w14:paraId="1614B533" w14:textId="1FFA9E6E" w:rsidR="0021668F" w:rsidRPr="0021668F" w:rsidRDefault="0021668F">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“A New Regulator with New Powers” </w:t>
      </w:r>
      <w:r w:rsidRPr="0021668F">
        <w:rPr>
          <w:rFonts w:ascii="Times New Roman" w:hAnsi="Times New Roman" w:cs="Times New Roman"/>
        </w:rPr>
        <w:t>https://www.vba.vic.gov.au/consumers/a-new-regulator-with-new-powers</w:t>
      </w:r>
      <w:r w:rsidRPr="0021668F">
        <w:rPr>
          <w:rFonts w:ascii="Times New Roman" w:hAnsi="Times New Roman" w:cs="Times New Roman"/>
        </w:rPr>
        <w:t>.</w:t>
      </w:r>
    </w:p>
  </w:endnote>
  <w:endnote w:id="2">
    <w:p w14:paraId="29AC0272" w14:textId="58DD23B4" w:rsidR="0021668F" w:rsidRPr="0021668F" w:rsidRDefault="0021668F" w:rsidP="00E06D26">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The political context of these reforms was summarised, for example, by Brendan Coates, Matthew Bowes and Kat Clay, “Housing </w:t>
      </w:r>
      <w:r w:rsidRPr="0021668F">
        <w:rPr>
          <w:rFonts w:ascii="Times New Roman" w:hAnsi="Times New Roman" w:cs="Times New Roman"/>
        </w:rPr>
        <w:t>P</w:t>
      </w:r>
      <w:r w:rsidRPr="0021668F">
        <w:rPr>
          <w:rFonts w:ascii="Times New Roman" w:hAnsi="Times New Roman" w:cs="Times New Roman"/>
        </w:rPr>
        <w:t xml:space="preserve">olicy </w:t>
      </w:r>
      <w:r w:rsidRPr="0021668F">
        <w:rPr>
          <w:rFonts w:ascii="Times New Roman" w:hAnsi="Times New Roman" w:cs="Times New Roman"/>
        </w:rPr>
        <w:t>H</w:t>
      </w:r>
      <w:r w:rsidRPr="0021668F">
        <w:rPr>
          <w:rFonts w:ascii="Times New Roman" w:hAnsi="Times New Roman" w:cs="Times New Roman"/>
        </w:rPr>
        <w:t xml:space="preserve">eats </w:t>
      </w:r>
      <w:r w:rsidRPr="0021668F">
        <w:rPr>
          <w:rFonts w:ascii="Times New Roman" w:hAnsi="Times New Roman" w:cs="Times New Roman"/>
        </w:rPr>
        <w:t>U</w:t>
      </w:r>
      <w:r w:rsidRPr="0021668F">
        <w:rPr>
          <w:rFonts w:ascii="Times New Roman" w:hAnsi="Times New Roman" w:cs="Times New Roman"/>
        </w:rPr>
        <w:t>p” (Grattan Institute podcast, 28 October 2024). The stamp duty reforms are the subject of the Duties Amendment (More Homes) Bill 2024 (Vic), introduced to Parliament on 29 October 2024.</w:t>
      </w:r>
    </w:p>
  </w:endnote>
  <w:endnote w:id="3">
    <w:p w14:paraId="30CC50AD" w14:textId="0D6CDEDC" w:rsidR="0021668F" w:rsidRPr="0021668F" w:rsidRDefault="0021668F">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The announcements can be found via https://www.premier.vic.gov.au/.</w:t>
      </w:r>
    </w:p>
  </w:endnote>
  <w:endnote w:id="4">
    <w:p w14:paraId="7A75F422" w14:textId="5B1D2A8A" w:rsidR="0021668F" w:rsidRPr="0021668F" w:rsidRDefault="0021668F">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See Department of Government Services Victoria, “Issues Paper: Review of Domestic Building Contracts Act 1995” (2023); Victoria, </w:t>
      </w:r>
      <w:r w:rsidRPr="0021668F">
        <w:rPr>
          <w:rFonts w:ascii="Times New Roman" w:hAnsi="Times New Roman" w:cs="Times New Roman"/>
          <w:i/>
          <w:iCs/>
        </w:rPr>
        <w:t xml:space="preserve">Building Reform: Paper Two </w:t>
      </w:r>
      <w:r w:rsidRPr="0021668F">
        <w:rPr>
          <w:rFonts w:ascii="Times New Roman" w:hAnsi="Times New Roman" w:cs="Times New Roman"/>
        </w:rPr>
        <w:t xml:space="preserve">(2023); Victorian Parliament Environment and Planning Committee, </w:t>
      </w:r>
      <w:r w:rsidRPr="0021668F">
        <w:rPr>
          <w:rFonts w:ascii="Times New Roman" w:hAnsi="Times New Roman" w:cs="Times New Roman"/>
          <w:i/>
          <w:iCs/>
        </w:rPr>
        <w:t xml:space="preserve">Report on the Inquiry into Employers and Contractors Who Refuse to Pay their Subcontractors for Completed Works </w:t>
      </w:r>
      <w:r w:rsidRPr="0021668F">
        <w:rPr>
          <w:rFonts w:ascii="Times New Roman" w:hAnsi="Times New Roman" w:cs="Times New Roman"/>
        </w:rPr>
        <w:t>(2023).</w:t>
      </w:r>
    </w:p>
  </w:endnote>
  <w:endnote w:id="5">
    <w:p w14:paraId="5E5DC0FB" w14:textId="59ABE426" w:rsidR="0021668F" w:rsidRPr="0021668F" w:rsidRDefault="0021668F">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The Queensland Home Warranty Scheme is currently the only state-based scheme which is “first resort”; Victoria, for example, allows for indemnity to be triggered only where the builder dies, becomes insolvent or disappears: </w:t>
      </w:r>
      <w:r w:rsidRPr="0021668F">
        <w:rPr>
          <w:rFonts w:ascii="Times New Roman" w:hAnsi="Times New Roman" w:cs="Times New Roman"/>
          <w:i/>
          <w:iCs/>
        </w:rPr>
        <w:t xml:space="preserve">Domestic Building Insurance Ministerial Order </w:t>
      </w:r>
      <w:r w:rsidRPr="0021668F">
        <w:rPr>
          <w:rFonts w:ascii="Times New Roman" w:hAnsi="Times New Roman" w:cs="Times New Roman"/>
        </w:rPr>
        <w:t>(Victoria Government Gazette No S95 28 February 2024) cls 8(3) and 8(4).</w:t>
      </w:r>
    </w:p>
  </w:endnote>
  <w:endnote w:id="6">
    <w:p w14:paraId="00B97EAE" w14:textId="758E22B3" w:rsidR="0021668F" w:rsidRPr="0021668F" w:rsidRDefault="0021668F" w:rsidP="00B254F2">
      <w:pPr>
        <w:pStyle w:val="EndnoteText"/>
        <w:rPr>
          <w:rFonts w:ascii="Times New Roman" w:hAnsi="Times New Roman" w:cs="Times New Roman"/>
          <w:lang w:val="en-GB"/>
        </w:rPr>
      </w:pPr>
      <w:r w:rsidRPr="0021668F">
        <w:rPr>
          <w:rStyle w:val="EndnoteReference"/>
          <w:rFonts w:ascii="Times New Roman" w:hAnsi="Times New Roman" w:cs="Times New Roman"/>
        </w:rPr>
        <w:endnoteRef/>
      </w:r>
      <w:r w:rsidRPr="0021668F">
        <w:rPr>
          <w:rFonts w:ascii="Times New Roman" w:hAnsi="Times New Roman" w:cs="Times New Roman"/>
        </w:rPr>
        <w:t xml:space="preserve"> </w:t>
      </w:r>
      <w:r w:rsidRPr="0021668F">
        <w:rPr>
          <w:rFonts w:ascii="Times New Roman" w:hAnsi="Times New Roman" w:cs="Times New Roman"/>
          <w:i/>
          <w:iCs/>
          <w:lang w:val="en-GB"/>
        </w:rPr>
        <w:t xml:space="preserve">Building and Construction Industry (Security of Payment) Act 2021 </w:t>
      </w:r>
      <w:r w:rsidRPr="0021668F">
        <w:rPr>
          <w:rFonts w:ascii="Times New Roman" w:hAnsi="Times New Roman" w:cs="Times New Roman"/>
          <w:lang w:val="en-GB"/>
        </w:rPr>
        <w:t>(WA) (“</w:t>
      </w:r>
      <w:r w:rsidRPr="0021668F">
        <w:rPr>
          <w:rFonts w:ascii="Times New Roman" w:hAnsi="Times New Roman" w:cs="Times New Roman"/>
          <w:i/>
          <w:iCs/>
          <w:lang w:val="en-GB"/>
        </w:rPr>
        <w:t>WA SOP Act</w:t>
      </w:r>
      <w:r w:rsidRPr="0021668F">
        <w:rPr>
          <w:rFonts w:ascii="Times New Roman" w:hAnsi="Times New Roman" w:cs="Times New Roman"/>
          <w:lang w:val="en-GB"/>
        </w:rPr>
        <w:t>”).</w:t>
      </w:r>
    </w:p>
  </w:endnote>
  <w:endnote w:id="7">
    <w:p w14:paraId="2106CD52" w14:textId="64C999AF" w:rsidR="0021668F" w:rsidRPr="0021668F" w:rsidRDefault="0021668F">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These reforms were primarily via the enactment of the </w:t>
      </w:r>
      <w:r w:rsidRPr="0021668F">
        <w:rPr>
          <w:rFonts w:ascii="Times New Roman" w:hAnsi="Times New Roman" w:cs="Times New Roman"/>
          <w:i/>
          <w:iCs/>
        </w:rPr>
        <w:t xml:space="preserve">Residential Apartment Buildings (Compliance and Enforcement Powers) Act 2020 </w:t>
      </w:r>
      <w:r w:rsidRPr="0021668F">
        <w:rPr>
          <w:rFonts w:ascii="Times New Roman" w:hAnsi="Times New Roman" w:cs="Times New Roman"/>
        </w:rPr>
        <w:t>(NSW) (</w:t>
      </w:r>
      <w:r w:rsidRPr="0021668F">
        <w:rPr>
          <w:rFonts w:ascii="Times New Roman" w:hAnsi="Times New Roman" w:cs="Times New Roman"/>
        </w:rPr>
        <w:t>“</w:t>
      </w:r>
      <w:r w:rsidRPr="0021668F">
        <w:rPr>
          <w:rFonts w:ascii="Times New Roman" w:hAnsi="Times New Roman" w:cs="Times New Roman"/>
          <w:i/>
          <w:iCs/>
        </w:rPr>
        <w:t>RAB Act</w:t>
      </w:r>
      <w:r w:rsidRPr="0021668F">
        <w:rPr>
          <w:rFonts w:ascii="Times New Roman" w:hAnsi="Times New Roman" w:cs="Times New Roman"/>
        </w:rPr>
        <w:t>”</w:t>
      </w:r>
      <w:r w:rsidRPr="0021668F">
        <w:rPr>
          <w:rFonts w:ascii="Times New Roman" w:hAnsi="Times New Roman" w:cs="Times New Roman"/>
        </w:rPr>
        <w:t xml:space="preserve">) and </w:t>
      </w:r>
      <w:r w:rsidRPr="0021668F">
        <w:rPr>
          <w:rFonts w:ascii="Times New Roman" w:hAnsi="Times New Roman" w:cs="Times New Roman"/>
          <w:i/>
          <w:iCs/>
        </w:rPr>
        <w:t>Design and Building Practitioners Act 2020</w:t>
      </w:r>
      <w:r w:rsidRPr="0021668F">
        <w:rPr>
          <w:rFonts w:ascii="Times New Roman" w:hAnsi="Times New Roman" w:cs="Times New Roman"/>
          <w:i/>
          <w:iCs/>
        </w:rPr>
        <w:t xml:space="preserve"> </w:t>
      </w:r>
      <w:r w:rsidRPr="0021668F">
        <w:rPr>
          <w:rFonts w:ascii="Times New Roman" w:hAnsi="Times New Roman" w:cs="Times New Roman"/>
        </w:rPr>
        <w:t>(NSW)</w:t>
      </w:r>
      <w:r w:rsidRPr="0021668F">
        <w:rPr>
          <w:rFonts w:ascii="Times New Roman" w:hAnsi="Times New Roman" w:cs="Times New Roman"/>
        </w:rPr>
        <w:t xml:space="preserve"> (</w:t>
      </w:r>
      <w:r w:rsidRPr="0021668F">
        <w:rPr>
          <w:rFonts w:ascii="Times New Roman" w:hAnsi="Times New Roman" w:cs="Times New Roman"/>
        </w:rPr>
        <w:t>“</w:t>
      </w:r>
      <w:r w:rsidRPr="0021668F">
        <w:rPr>
          <w:rFonts w:ascii="Times New Roman" w:hAnsi="Times New Roman" w:cs="Times New Roman"/>
          <w:i/>
          <w:iCs/>
        </w:rPr>
        <w:t>DBP Act</w:t>
      </w:r>
      <w:r w:rsidRPr="0021668F">
        <w:rPr>
          <w:rFonts w:ascii="Times New Roman" w:hAnsi="Times New Roman" w:cs="Times New Roman"/>
        </w:rPr>
        <w:t>”</w:t>
      </w:r>
      <w:r w:rsidRPr="0021668F">
        <w:rPr>
          <w:rFonts w:ascii="Times New Roman" w:hAnsi="Times New Roman" w:cs="Times New Roman"/>
        </w:rPr>
        <w:t>).</w:t>
      </w:r>
      <w:r w:rsidRPr="0021668F">
        <w:rPr>
          <w:rFonts w:ascii="Times New Roman" w:hAnsi="Times New Roman" w:cs="Times New Roman"/>
        </w:rPr>
        <w:t xml:space="preserve"> See, eg, Alex Ottaway, “Design and Building Practitioners Act 2020 (NSW): Can Disputes Alleging Breach of Duty be Settled?” (2021) 32(3&amp;4) </w:t>
      </w:r>
      <w:r w:rsidRPr="0021668F">
        <w:rPr>
          <w:rFonts w:ascii="Times New Roman" w:hAnsi="Times New Roman" w:cs="Times New Roman"/>
          <w:i/>
          <w:iCs/>
        </w:rPr>
        <w:t>ACLB</w:t>
      </w:r>
      <w:r w:rsidRPr="0021668F">
        <w:rPr>
          <w:rFonts w:ascii="Times New Roman" w:hAnsi="Times New Roman" w:cs="Times New Roman"/>
        </w:rPr>
        <w:t xml:space="preserve"> 18.</w:t>
      </w:r>
    </w:p>
  </w:endnote>
  <w:endnote w:id="8">
    <w:p w14:paraId="59E0FCEA" w14:textId="5ECEAF56" w:rsidR="0021668F" w:rsidRPr="0021668F" w:rsidRDefault="0021668F">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See “A New Regulator…” (above n </w:t>
      </w:r>
      <w:r w:rsidRPr="0021668F">
        <w:rPr>
          <w:rFonts w:ascii="Times New Roman" w:hAnsi="Times New Roman" w:cs="Times New Roman"/>
        </w:rPr>
        <w:fldChar w:fldCharType="begin"/>
      </w:r>
      <w:r w:rsidRPr="0021668F">
        <w:rPr>
          <w:rFonts w:ascii="Times New Roman" w:hAnsi="Times New Roman" w:cs="Times New Roman"/>
        </w:rPr>
        <w:instrText xml:space="preserve"> NOTEREF _Ref181258055 \h </w:instrText>
      </w:r>
      <w:r w:rsidRPr="0021668F">
        <w:rPr>
          <w:rFonts w:ascii="Times New Roman" w:hAnsi="Times New Roman" w:cs="Times New Roman"/>
        </w:rPr>
      </w:r>
      <w:r>
        <w:rPr>
          <w:rFonts w:ascii="Times New Roman" w:hAnsi="Times New Roman" w:cs="Times New Roman"/>
        </w:rPr>
        <w:instrText xml:space="preserve"> \* MERGEFORMAT </w:instrText>
      </w:r>
      <w:r w:rsidRPr="0021668F">
        <w:rPr>
          <w:rFonts w:ascii="Times New Roman" w:hAnsi="Times New Roman" w:cs="Times New Roman"/>
        </w:rPr>
        <w:fldChar w:fldCharType="separate"/>
      </w:r>
      <w:r w:rsidRPr="0021668F">
        <w:rPr>
          <w:rFonts w:ascii="Times New Roman" w:hAnsi="Times New Roman" w:cs="Times New Roman"/>
        </w:rPr>
        <w:t>1</w:t>
      </w:r>
      <w:r w:rsidRPr="0021668F">
        <w:rPr>
          <w:rFonts w:ascii="Times New Roman" w:hAnsi="Times New Roman" w:cs="Times New Roman"/>
        </w:rPr>
        <w:fldChar w:fldCharType="end"/>
      </w:r>
      <w:r w:rsidRPr="0021668F">
        <w:rPr>
          <w:rFonts w:ascii="Times New Roman" w:hAnsi="Times New Roman" w:cs="Times New Roman"/>
        </w:rPr>
        <w:t xml:space="preserve">). </w:t>
      </w:r>
    </w:p>
  </w:endnote>
  <w:endnote w:id="9">
    <w:p w14:paraId="6122ACBB" w14:textId="3FEEB47C" w:rsidR="0021668F" w:rsidRPr="0021668F" w:rsidRDefault="0021668F" w:rsidP="00BA4707">
      <w:pPr>
        <w:pStyle w:val="EndnoteText"/>
        <w:rPr>
          <w:rFonts w:ascii="Times New Roman" w:hAnsi="Times New Roman" w:cs="Times New Roman"/>
          <w:b/>
          <w:bCs/>
        </w:rPr>
      </w:pPr>
      <w:r w:rsidRPr="0021668F">
        <w:rPr>
          <w:rStyle w:val="EndnoteReference"/>
          <w:rFonts w:ascii="Times New Roman" w:hAnsi="Times New Roman" w:cs="Times New Roman"/>
        </w:rPr>
        <w:endnoteRef/>
      </w:r>
      <w:r w:rsidRPr="0021668F">
        <w:rPr>
          <w:rFonts w:ascii="Times New Roman" w:hAnsi="Times New Roman" w:cs="Times New Roman"/>
        </w:rPr>
        <w:t xml:space="preserve"> See Matthew Bell, “Bringing Home Reform: A Principles-Based Approach to Regulation of Construction for Residents’ Safety”</w:t>
      </w:r>
      <w:r w:rsidRPr="0021668F">
        <w:rPr>
          <w:rFonts w:ascii="Times New Roman" w:hAnsi="Times New Roman" w:cs="Times New Roman"/>
          <w:b/>
          <w:bCs/>
        </w:rPr>
        <w:t xml:space="preserve"> </w:t>
      </w:r>
      <w:r w:rsidRPr="0021668F">
        <w:rPr>
          <w:rFonts w:ascii="Times New Roman" w:hAnsi="Times New Roman" w:cs="Times New Roman"/>
        </w:rPr>
        <w:t xml:space="preserve">(2023) 49 </w:t>
      </w:r>
      <w:r w:rsidRPr="0021668F">
        <w:rPr>
          <w:rFonts w:ascii="Times New Roman" w:hAnsi="Times New Roman" w:cs="Times New Roman"/>
          <w:i/>
          <w:iCs/>
        </w:rPr>
        <w:t>Monash University Law Review</w:t>
      </w:r>
      <w:r w:rsidRPr="0021668F">
        <w:rPr>
          <w:rFonts w:ascii="Times New Roman" w:hAnsi="Times New Roman" w:cs="Times New Roman"/>
        </w:rPr>
        <w:t xml:space="preserve"> 82.</w:t>
      </w:r>
    </w:p>
  </w:endnote>
  <w:endnote w:id="10">
    <w:p w14:paraId="256D2DEF" w14:textId="3147A8DD" w:rsidR="0021668F" w:rsidRPr="0021668F" w:rsidRDefault="0021668F" w:rsidP="00A46F33">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See “New Building Watchdog with Teeth to Protect Victorians”: </w:t>
      </w:r>
      <w:hyperlink r:id="rId1" w:history="1">
        <w:r w:rsidRPr="0021668F">
          <w:rPr>
            <w:rStyle w:val="Hyperlink"/>
            <w:rFonts w:ascii="Times New Roman" w:hAnsi="Times New Roman" w:cs="Times New Roman"/>
          </w:rPr>
          <w:t>https://www.premier.vic.gov.au/new-building-watchdog-teeth-protect-victorians</w:t>
        </w:r>
      </w:hyperlink>
      <w:r w:rsidRPr="0021668F">
        <w:rPr>
          <w:rFonts w:ascii="Times New Roman" w:hAnsi="Times New Roman" w:cs="Times New Roman"/>
        </w:rPr>
        <w:t>.</w:t>
      </w:r>
    </w:p>
  </w:endnote>
  <w:endnote w:id="11">
    <w:p w14:paraId="7BF8F141" w14:textId="4F5FAD9C" w:rsidR="0021668F" w:rsidRPr="0021668F" w:rsidRDefault="0021668F">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For a critical summary see, eg, Megan Thorburn, Bronwyn Weir and Matthew Bell, “Boulevards of Broken Dreams” </w:t>
      </w:r>
      <w:r w:rsidRPr="0021668F">
        <w:rPr>
          <w:rFonts w:ascii="Times New Roman" w:hAnsi="Times New Roman" w:cs="Times New Roman"/>
          <w:i/>
          <w:iCs/>
        </w:rPr>
        <w:t xml:space="preserve">Law Institute Journal </w:t>
      </w:r>
      <w:r w:rsidRPr="0021668F">
        <w:rPr>
          <w:rFonts w:ascii="Times New Roman" w:hAnsi="Times New Roman" w:cs="Times New Roman"/>
        </w:rPr>
        <w:t>(March 2024) 18.</w:t>
      </w:r>
    </w:p>
  </w:endnote>
  <w:endnote w:id="12">
    <w:p w14:paraId="76AC938E" w14:textId="53DBB70E" w:rsidR="0021668F" w:rsidRPr="0021668F" w:rsidRDefault="0021668F">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Department of Government Services (above n </w:t>
      </w:r>
      <w:r w:rsidRPr="0021668F">
        <w:rPr>
          <w:rFonts w:ascii="Times New Roman" w:hAnsi="Times New Roman" w:cs="Times New Roman"/>
        </w:rPr>
        <w:fldChar w:fldCharType="begin"/>
      </w:r>
      <w:r w:rsidRPr="0021668F">
        <w:rPr>
          <w:rFonts w:ascii="Times New Roman" w:hAnsi="Times New Roman" w:cs="Times New Roman"/>
        </w:rPr>
        <w:instrText xml:space="preserve"> NOTEREF _Ref181215555 \h </w:instrText>
      </w:r>
      <w:r w:rsidRPr="0021668F">
        <w:rPr>
          <w:rFonts w:ascii="Times New Roman" w:hAnsi="Times New Roman" w:cs="Times New Roman"/>
        </w:rPr>
      </w:r>
      <w:r w:rsidRPr="0021668F">
        <w:rPr>
          <w:rFonts w:ascii="Times New Roman" w:hAnsi="Times New Roman" w:cs="Times New Roman"/>
        </w:rPr>
        <w:instrText xml:space="preserve"> \* MERGEFORMAT </w:instrText>
      </w:r>
      <w:r w:rsidRPr="0021668F">
        <w:rPr>
          <w:rFonts w:ascii="Times New Roman" w:hAnsi="Times New Roman" w:cs="Times New Roman"/>
        </w:rPr>
        <w:fldChar w:fldCharType="separate"/>
      </w:r>
      <w:r w:rsidRPr="0021668F">
        <w:rPr>
          <w:rFonts w:ascii="Times New Roman" w:hAnsi="Times New Roman" w:cs="Times New Roman"/>
        </w:rPr>
        <w:t>4</w:t>
      </w:r>
      <w:r w:rsidRPr="0021668F">
        <w:rPr>
          <w:rFonts w:ascii="Times New Roman" w:hAnsi="Times New Roman" w:cs="Times New Roman"/>
        </w:rPr>
        <w:fldChar w:fldCharType="end"/>
      </w:r>
      <w:r w:rsidRPr="0021668F">
        <w:rPr>
          <w:rFonts w:ascii="Times New Roman" w:hAnsi="Times New Roman" w:cs="Times New Roman"/>
        </w:rPr>
        <w:t>).</w:t>
      </w:r>
    </w:p>
  </w:endnote>
  <w:endnote w:id="13">
    <w:p w14:paraId="4AA39C20" w14:textId="6B27C0E3" w:rsidR="0021668F" w:rsidRPr="0021668F" w:rsidRDefault="0021668F">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The ambition for a new Victorian Building Act remains stated on the Building System Review website: </w:t>
      </w:r>
      <w:hyperlink r:id="rId2" w:history="1">
        <w:r w:rsidRPr="0021668F">
          <w:rPr>
            <w:rStyle w:val="Hyperlink"/>
            <w:rFonts w:ascii="Times New Roman" w:hAnsi="Times New Roman" w:cs="Times New Roman"/>
          </w:rPr>
          <w:t>https://www.planning.vic.gov.au/guides-and-resources/building-policy/building-reform</w:t>
        </w:r>
      </w:hyperlink>
      <w:r w:rsidRPr="0021668F">
        <w:rPr>
          <w:rFonts w:ascii="Times New Roman" w:hAnsi="Times New Roman" w:cs="Times New Roman"/>
        </w:rPr>
        <w:t xml:space="preserve">. The proposed NSW Building Bill and associated legislation to consolidate its suite was the subject of a consultation launched in August 2024: see </w:t>
      </w:r>
      <w:r w:rsidRPr="0021668F">
        <w:rPr>
          <w:rFonts w:ascii="Times New Roman" w:hAnsi="Times New Roman" w:cs="Times New Roman"/>
        </w:rPr>
        <w:t>https://eaxchange.engineersaustralia.org.au/buildingreform/discussion/consultation-on-proposed-building-reforms-in-nsw</w:t>
      </w:r>
      <w:r w:rsidRPr="0021668F">
        <w:rPr>
          <w:rFonts w:ascii="Times New Roman" w:hAnsi="Times New Roman" w:cs="Times New Roman"/>
        </w:rPr>
        <w:t xml:space="preserve">. </w:t>
      </w:r>
    </w:p>
  </w:endnote>
  <w:endnote w:id="14">
    <w:p w14:paraId="034A0BD2" w14:textId="3EDFE67E" w:rsidR="0021668F" w:rsidRPr="0021668F" w:rsidRDefault="0021668F">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w:t>
      </w:r>
      <w:r w:rsidRPr="0021668F">
        <w:rPr>
          <w:rFonts w:ascii="Times New Roman" w:hAnsi="Times New Roman" w:cs="Times New Roman"/>
          <w:i/>
          <w:iCs/>
        </w:rPr>
        <w:t>DBP Act</w:t>
      </w:r>
      <w:r w:rsidRPr="0021668F">
        <w:rPr>
          <w:rFonts w:ascii="Times New Roman" w:hAnsi="Times New Roman" w:cs="Times New Roman"/>
        </w:rPr>
        <w:t xml:space="preserve"> s 37. See </w:t>
      </w:r>
      <w:r w:rsidRPr="0021668F">
        <w:rPr>
          <w:rFonts w:ascii="Times New Roman" w:hAnsi="Times New Roman" w:cs="Times New Roman"/>
          <w:i/>
          <w:iCs/>
        </w:rPr>
        <w:t xml:space="preserve">Building Reform: Paper Two </w:t>
      </w:r>
      <w:r w:rsidRPr="0021668F">
        <w:rPr>
          <w:rFonts w:ascii="Times New Roman" w:hAnsi="Times New Roman" w:cs="Times New Roman"/>
        </w:rPr>
        <w:t xml:space="preserve">(above n </w:t>
      </w:r>
      <w:r w:rsidRPr="0021668F">
        <w:rPr>
          <w:rFonts w:ascii="Times New Roman" w:hAnsi="Times New Roman" w:cs="Times New Roman"/>
        </w:rPr>
        <w:fldChar w:fldCharType="begin"/>
      </w:r>
      <w:r w:rsidRPr="0021668F">
        <w:rPr>
          <w:rFonts w:ascii="Times New Roman" w:hAnsi="Times New Roman" w:cs="Times New Roman"/>
        </w:rPr>
        <w:instrText xml:space="preserve"> NOTEREF _Ref181215555 \h </w:instrText>
      </w:r>
      <w:r w:rsidRPr="0021668F">
        <w:rPr>
          <w:rFonts w:ascii="Times New Roman" w:hAnsi="Times New Roman" w:cs="Times New Roman"/>
        </w:rPr>
      </w:r>
      <w:r w:rsidRPr="0021668F">
        <w:rPr>
          <w:rFonts w:ascii="Times New Roman" w:hAnsi="Times New Roman" w:cs="Times New Roman"/>
        </w:rPr>
        <w:instrText xml:space="preserve"> \* MERGEFORMAT </w:instrText>
      </w:r>
      <w:r w:rsidRPr="0021668F">
        <w:rPr>
          <w:rFonts w:ascii="Times New Roman" w:hAnsi="Times New Roman" w:cs="Times New Roman"/>
        </w:rPr>
        <w:fldChar w:fldCharType="separate"/>
      </w:r>
      <w:r w:rsidRPr="0021668F">
        <w:rPr>
          <w:rFonts w:ascii="Times New Roman" w:hAnsi="Times New Roman" w:cs="Times New Roman"/>
        </w:rPr>
        <w:t>4</w:t>
      </w:r>
      <w:r w:rsidRPr="0021668F">
        <w:rPr>
          <w:rFonts w:ascii="Times New Roman" w:hAnsi="Times New Roman" w:cs="Times New Roman"/>
        </w:rPr>
        <w:fldChar w:fldCharType="end"/>
      </w:r>
      <w:r w:rsidRPr="0021668F">
        <w:rPr>
          <w:rFonts w:ascii="Times New Roman" w:hAnsi="Times New Roman" w:cs="Times New Roman"/>
        </w:rPr>
        <w:t>) [4.4.3] p 17.</w:t>
      </w:r>
    </w:p>
  </w:endnote>
  <w:endnote w:id="15">
    <w:p w14:paraId="24A3EE11" w14:textId="607E89F1" w:rsidR="0021668F" w:rsidRPr="0021668F" w:rsidRDefault="0021668F">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“A New Regulator…” (above n </w:t>
      </w:r>
      <w:r w:rsidRPr="0021668F">
        <w:rPr>
          <w:rFonts w:ascii="Times New Roman" w:hAnsi="Times New Roman" w:cs="Times New Roman"/>
        </w:rPr>
        <w:fldChar w:fldCharType="begin"/>
      </w:r>
      <w:r w:rsidRPr="0021668F">
        <w:rPr>
          <w:rFonts w:ascii="Times New Roman" w:hAnsi="Times New Roman" w:cs="Times New Roman"/>
        </w:rPr>
        <w:instrText xml:space="preserve"> NOTEREF _Ref181258055 \h </w:instrText>
      </w:r>
      <w:r w:rsidRPr="0021668F">
        <w:rPr>
          <w:rFonts w:ascii="Times New Roman" w:hAnsi="Times New Roman" w:cs="Times New Roman"/>
        </w:rPr>
      </w:r>
      <w:r>
        <w:rPr>
          <w:rFonts w:ascii="Times New Roman" w:hAnsi="Times New Roman" w:cs="Times New Roman"/>
        </w:rPr>
        <w:instrText xml:space="preserve"> \* MERGEFORMAT </w:instrText>
      </w:r>
      <w:r w:rsidRPr="0021668F">
        <w:rPr>
          <w:rFonts w:ascii="Times New Roman" w:hAnsi="Times New Roman" w:cs="Times New Roman"/>
        </w:rPr>
        <w:fldChar w:fldCharType="separate"/>
      </w:r>
      <w:r w:rsidRPr="0021668F">
        <w:rPr>
          <w:rFonts w:ascii="Times New Roman" w:hAnsi="Times New Roman" w:cs="Times New Roman"/>
        </w:rPr>
        <w:t>1</w:t>
      </w:r>
      <w:r w:rsidRPr="0021668F">
        <w:rPr>
          <w:rFonts w:ascii="Times New Roman" w:hAnsi="Times New Roman" w:cs="Times New Roman"/>
        </w:rPr>
        <w:fldChar w:fldCharType="end"/>
      </w:r>
      <w:r w:rsidRPr="0021668F">
        <w:rPr>
          <w:rFonts w:ascii="Times New Roman" w:hAnsi="Times New Roman" w:cs="Times New Roman"/>
        </w:rPr>
        <w:t xml:space="preserve">); “New Building Watchdog…” (above n </w:t>
      </w:r>
      <w:r w:rsidRPr="0021668F">
        <w:rPr>
          <w:rFonts w:ascii="Times New Roman" w:hAnsi="Times New Roman" w:cs="Times New Roman"/>
        </w:rPr>
        <w:fldChar w:fldCharType="begin"/>
      </w:r>
      <w:r w:rsidRPr="0021668F">
        <w:rPr>
          <w:rFonts w:ascii="Times New Roman" w:hAnsi="Times New Roman" w:cs="Times New Roman"/>
        </w:rPr>
        <w:instrText xml:space="preserve"> NOTEREF _Ref181196916 \h </w:instrText>
      </w:r>
      <w:r w:rsidRPr="0021668F">
        <w:rPr>
          <w:rFonts w:ascii="Times New Roman" w:hAnsi="Times New Roman" w:cs="Times New Roman"/>
        </w:rPr>
      </w:r>
      <w:r w:rsidRPr="0021668F">
        <w:rPr>
          <w:rFonts w:ascii="Times New Roman" w:hAnsi="Times New Roman" w:cs="Times New Roman"/>
        </w:rPr>
        <w:instrText xml:space="preserve"> \* MERGEFORMAT </w:instrText>
      </w:r>
      <w:r w:rsidRPr="0021668F">
        <w:rPr>
          <w:rFonts w:ascii="Times New Roman" w:hAnsi="Times New Roman" w:cs="Times New Roman"/>
        </w:rPr>
        <w:fldChar w:fldCharType="separate"/>
      </w:r>
      <w:r w:rsidRPr="0021668F">
        <w:rPr>
          <w:rFonts w:ascii="Times New Roman" w:hAnsi="Times New Roman" w:cs="Times New Roman"/>
        </w:rPr>
        <w:t>10</w:t>
      </w:r>
      <w:r w:rsidRPr="0021668F">
        <w:rPr>
          <w:rFonts w:ascii="Times New Roman" w:hAnsi="Times New Roman" w:cs="Times New Roman"/>
        </w:rPr>
        <w:fldChar w:fldCharType="end"/>
      </w:r>
      <w:r w:rsidRPr="0021668F">
        <w:rPr>
          <w:rFonts w:ascii="Times New Roman" w:hAnsi="Times New Roman" w:cs="Times New Roman"/>
        </w:rPr>
        <w:t xml:space="preserve">); Building System Review (above n </w:t>
      </w:r>
      <w:r w:rsidRPr="0021668F">
        <w:rPr>
          <w:rFonts w:ascii="Times New Roman" w:hAnsi="Times New Roman" w:cs="Times New Roman"/>
        </w:rPr>
        <w:fldChar w:fldCharType="begin"/>
      </w:r>
      <w:r w:rsidRPr="0021668F">
        <w:rPr>
          <w:rFonts w:ascii="Times New Roman" w:hAnsi="Times New Roman" w:cs="Times New Roman"/>
        </w:rPr>
        <w:instrText xml:space="preserve"> NOTEREF _Ref181258281 \h </w:instrText>
      </w:r>
      <w:r w:rsidRPr="0021668F">
        <w:rPr>
          <w:rFonts w:ascii="Times New Roman" w:hAnsi="Times New Roman" w:cs="Times New Roman"/>
        </w:rPr>
      </w:r>
      <w:r>
        <w:rPr>
          <w:rFonts w:ascii="Times New Roman" w:hAnsi="Times New Roman" w:cs="Times New Roman"/>
        </w:rPr>
        <w:instrText xml:space="preserve"> \* MERGEFORMAT </w:instrText>
      </w:r>
      <w:r w:rsidRPr="0021668F">
        <w:rPr>
          <w:rFonts w:ascii="Times New Roman" w:hAnsi="Times New Roman" w:cs="Times New Roman"/>
        </w:rPr>
        <w:fldChar w:fldCharType="separate"/>
      </w:r>
      <w:r w:rsidRPr="0021668F">
        <w:rPr>
          <w:rFonts w:ascii="Times New Roman" w:hAnsi="Times New Roman" w:cs="Times New Roman"/>
        </w:rPr>
        <w:t>13</w:t>
      </w:r>
      <w:r w:rsidRPr="0021668F">
        <w:rPr>
          <w:rFonts w:ascii="Times New Roman" w:hAnsi="Times New Roman" w:cs="Times New Roman"/>
        </w:rPr>
        <w:fldChar w:fldCharType="end"/>
      </w:r>
      <w:r w:rsidRPr="0021668F">
        <w:rPr>
          <w:rFonts w:ascii="Times New Roman" w:hAnsi="Times New Roman" w:cs="Times New Roman"/>
        </w:rPr>
        <w:t>).</w:t>
      </w:r>
    </w:p>
  </w:endnote>
  <w:endnote w:id="16">
    <w:p w14:paraId="29592205" w14:textId="2B5883F9" w:rsidR="0021668F" w:rsidRPr="0021668F" w:rsidRDefault="0021668F">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“New Building Watchdog…” (above n </w:t>
      </w:r>
      <w:r w:rsidRPr="0021668F">
        <w:rPr>
          <w:rFonts w:ascii="Times New Roman" w:hAnsi="Times New Roman" w:cs="Times New Roman"/>
        </w:rPr>
        <w:fldChar w:fldCharType="begin"/>
      </w:r>
      <w:r w:rsidRPr="0021668F">
        <w:rPr>
          <w:rFonts w:ascii="Times New Roman" w:hAnsi="Times New Roman" w:cs="Times New Roman"/>
        </w:rPr>
        <w:instrText xml:space="preserve"> NOTEREF _Ref181196916 \h </w:instrText>
      </w:r>
      <w:r w:rsidRPr="0021668F">
        <w:rPr>
          <w:rFonts w:ascii="Times New Roman" w:hAnsi="Times New Roman" w:cs="Times New Roman"/>
        </w:rPr>
      </w:r>
      <w:r w:rsidRPr="0021668F">
        <w:rPr>
          <w:rFonts w:ascii="Times New Roman" w:hAnsi="Times New Roman" w:cs="Times New Roman"/>
        </w:rPr>
        <w:instrText xml:space="preserve"> \* MERGEFORMAT </w:instrText>
      </w:r>
      <w:r w:rsidRPr="0021668F">
        <w:rPr>
          <w:rFonts w:ascii="Times New Roman" w:hAnsi="Times New Roman" w:cs="Times New Roman"/>
        </w:rPr>
        <w:fldChar w:fldCharType="separate"/>
      </w:r>
      <w:r w:rsidRPr="0021668F">
        <w:rPr>
          <w:rFonts w:ascii="Times New Roman" w:hAnsi="Times New Roman" w:cs="Times New Roman"/>
        </w:rPr>
        <w:t>10</w:t>
      </w:r>
      <w:r w:rsidRPr="0021668F">
        <w:rPr>
          <w:rFonts w:ascii="Times New Roman" w:hAnsi="Times New Roman" w:cs="Times New Roman"/>
        </w:rPr>
        <w:fldChar w:fldCharType="end"/>
      </w:r>
      <w:r w:rsidRPr="0021668F">
        <w:rPr>
          <w:rFonts w:ascii="Times New Roman" w:hAnsi="Times New Roman" w:cs="Times New Roman"/>
        </w:rPr>
        <w:t>).</w:t>
      </w:r>
    </w:p>
  </w:endnote>
  <w:endnote w:id="17">
    <w:p w14:paraId="5AD20AE4" w14:textId="32EBA4FC" w:rsidR="0021668F" w:rsidRPr="0021668F" w:rsidRDefault="0021668F">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w:t>
      </w:r>
      <w:r w:rsidRPr="0021668F">
        <w:rPr>
          <w:rFonts w:ascii="Times New Roman" w:hAnsi="Times New Roman" w:cs="Times New Roman"/>
          <w:i/>
          <w:iCs/>
        </w:rPr>
        <w:t xml:space="preserve">Building Reform: Paper Two </w:t>
      </w:r>
      <w:r w:rsidRPr="0021668F">
        <w:rPr>
          <w:rFonts w:ascii="Times New Roman" w:hAnsi="Times New Roman" w:cs="Times New Roman"/>
        </w:rPr>
        <w:t xml:space="preserve">(above n </w:t>
      </w:r>
      <w:r w:rsidRPr="0021668F">
        <w:rPr>
          <w:rFonts w:ascii="Times New Roman" w:hAnsi="Times New Roman" w:cs="Times New Roman"/>
        </w:rPr>
        <w:fldChar w:fldCharType="begin"/>
      </w:r>
      <w:r w:rsidRPr="0021668F">
        <w:rPr>
          <w:rFonts w:ascii="Times New Roman" w:hAnsi="Times New Roman" w:cs="Times New Roman"/>
        </w:rPr>
        <w:instrText xml:space="preserve"> NOTEREF _Ref181215555 \h </w:instrText>
      </w:r>
      <w:r w:rsidRPr="0021668F">
        <w:rPr>
          <w:rFonts w:ascii="Times New Roman" w:hAnsi="Times New Roman" w:cs="Times New Roman"/>
        </w:rPr>
      </w:r>
      <w:r w:rsidRPr="0021668F">
        <w:rPr>
          <w:rFonts w:ascii="Times New Roman" w:hAnsi="Times New Roman" w:cs="Times New Roman"/>
        </w:rPr>
        <w:instrText xml:space="preserve"> \* MERGEFORMAT </w:instrText>
      </w:r>
      <w:r w:rsidRPr="0021668F">
        <w:rPr>
          <w:rFonts w:ascii="Times New Roman" w:hAnsi="Times New Roman" w:cs="Times New Roman"/>
        </w:rPr>
        <w:fldChar w:fldCharType="separate"/>
      </w:r>
      <w:r w:rsidRPr="0021668F">
        <w:rPr>
          <w:rFonts w:ascii="Times New Roman" w:hAnsi="Times New Roman" w:cs="Times New Roman"/>
        </w:rPr>
        <w:t>4</w:t>
      </w:r>
      <w:r w:rsidRPr="0021668F">
        <w:rPr>
          <w:rFonts w:ascii="Times New Roman" w:hAnsi="Times New Roman" w:cs="Times New Roman"/>
        </w:rPr>
        <w:fldChar w:fldCharType="end"/>
      </w:r>
      <w:r w:rsidRPr="0021668F">
        <w:rPr>
          <w:rFonts w:ascii="Times New Roman" w:hAnsi="Times New Roman" w:cs="Times New Roman"/>
        </w:rPr>
        <w:t>) [4.3.2] p 16.</w:t>
      </w:r>
    </w:p>
  </w:endnote>
  <w:endnote w:id="18">
    <w:p w14:paraId="62A9A3AB" w14:textId="63C46920" w:rsidR="0021668F" w:rsidRPr="0021668F" w:rsidRDefault="0021668F">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w:t>
      </w:r>
      <w:r w:rsidRPr="0021668F">
        <w:rPr>
          <w:rFonts w:ascii="Times New Roman" w:hAnsi="Times New Roman" w:cs="Times New Roman"/>
          <w:i/>
          <w:iCs/>
        </w:rPr>
        <w:t xml:space="preserve">Strata Schemes Management Regulation 2016 </w:t>
      </w:r>
      <w:r w:rsidRPr="0021668F">
        <w:rPr>
          <w:rFonts w:ascii="Times New Roman" w:hAnsi="Times New Roman" w:cs="Times New Roman"/>
        </w:rPr>
        <w:t>(NSW) regs 52, 54.</w:t>
      </w:r>
    </w:p>
  </w:endnote>
  <w:endnote w:id="19">
    <w:p w14:paraId="2A1986AE" w14:textId="12E9E4FB" w:rsidR="0021668F" w:rsidRPr="0021668F" w:rsidRDefault="0021668F" w:rsidP="00CF5AA0">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w:t>
      </w:r>
      <w:r w:rsidRPr="0021668F">
        <w:rPr>
          <w:rFonts w:ascii="Times New Roman" w:hAnsi="Times New Roman" w:cs="Times New Roman"/>
          <w:i/>
          <w:iCs/>
        </w:rPr>
        <w:t xml:space="preserve">Building Reform: Paper Two </w:t>
      </w:r>
      <w:r w:rsidRPr="0021668F">
        <w:rPr>
          <w:rFonts w:ascii="Times New Roman" w:hAnsi="Times New Roman" w:cs="Times New Roman"/>
        </w:rPr>
        <w:t xml:space="preserve">(above n </w:t>
      </w:r>
      <w:r w:rsidRPr="0021668F">
        <w:rPr>
          <w:rFonts w:ascii="Times New Roman" w:hAnsi="Times New Roman" w:cs="Times New Roman"/>
        </w:rPr>
        <w:fldChar w:fldCharType="begin"/>
      </w:r>
      <w:r w:rsidRPr="0021668F">
        <w:rPr>
          <w:rFonts w:ascii="Times New Roman" w:hAnsi="Times New Roman" w:cs="Times New Roman"/>
        </w:rPr>
        <w:instrText xml:space="preserve"> NOTEREF _Ref181215555 \h </w:instrText>
      </w:r>
      <w:r w:rsidRPr="0021668F">
        <w:rPr>
          <w:rFonts w:ascii="Times New Roman" w:hAnsi="Times New Roman" w:cs="Times New Roman"/>
        </w:rPr>
      </w:r>
      <w:r w:rsidRPr="0021668F">
        <w:rPr>
          <w:rFonts w:ascii="Times New Roman" w:hAnsi="Times New Roman" w:cs="Times New Roman"/>
        </w:rPr>
        <w:instrText xml:space="preserve"> \* MERGEFORMAT </w:instrText>
      </w:r>
      <w:r w:rsidRPr="0021668F">
        <w:rPr>
          <w:rFonts w:ascii="Times New Roman" w:hAnsi="Times New Roman" w:cs="Times New Roman"/>
        </w:rPr>
        <w:fldChar w:fldCharType="separate"/>
      </w:r>
      <w:r w:rsidRPr="0021668F">
        <w:rPr>
          <w:rFonts w:ascii="Times New Roman" w:hAnsi="Times New Roman" w:cs="Times New Roman"/>
        </w:rPr>
        <w:t>4</w:t>
      </w:r>
      <w:r w:rsidRPr="0021668F">
        <w:rPr>
          <w:rFonts w:ascii="Times New Roman" w:hAnsi="Times New Roman" w:cs="Times New Roman"/>
        </w:rPr>
        <w:fldChar w:fldCharType="end"/>
      </w:r>
      <w:r w:rsidRPr="0021668F">
        <w:rPr>
          <w:rFonts w:ascii="Times New Roman" w:hAnsi="Times New Roman" w:cs="Times New Roman"/>
        </w:rPr>
        <w:t>) [6.3.1] p 32.</w:t>
      </w:r>
    </w:p>
  </w:endnote>
  <w:endnote w:id="20">
    <w:p w14:paraId="1329C338" w14:textId="6E994318" w:rsidR="0021668F" w:rsidRPr="0021668F" w:rsidRDefault="0021668F">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See </w:t>
      </w:r>
      <w:r w:rsidRPr="0021668F">
        <w:rPr>
          <w:rFonts w:ascii="Times New Roman" w:hAnsi="Times New Roman" w:cs="Times New Roman"/>
          <w:i/>
          <w:iCs/>
        </w:rPr>
        <w:t xml:space="preserve">Strata Schemes Management Act 2015 </w:t>
      </w:r>
      <w:r w:rsidRPr="0021668F">
        <w:rPr>
          <w:rFonts w:ascii="Times New Roman" w:hAnsi="Times New Roman" w:cs="Times New Roman"/>
        </w:rPr>
        <w:t xml:space="preserve">(NSW) pt 11 div 3AA, </w:t>
      </w:r>
      <w:r w:rsidRPr="0021668F">
        <w:rPr>
          <w:rFonts w:ascii="Times New Roman" w:hAnsi="Times New Roman" w:cs="Times New Roman"/>
          <w:i/>
          <w:iCs/>
        </w:rPr>
        <w:t xml:space="preserve">Strata Schemes Management Regulation 2016 </w:t>
      </w:r>
      <w:r w:rsidRPr="0021668F">
        <w:rPr>
          <w:rFonts w:ascii="Times New Roman" w:hAnsi="Times New Roman" w:cs="Times New Roman"/>
        </w:rPr>
        <w:t xml:space="preserve">(NSW) pt 8 div 3A. </w:t>
      </w:r>
    </w:p>
  </w:endnote>
  <w:endnote w:id="21">
    <w:p w14:paraId="1EFE7491" w14:textId="077E39EB" w:rsidR="0021668F" w:rsidRPr="0021668F" w:rsidRDefault="0021668F">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See above n </w:t>
      </w:r>
      <w:r w:rsidRPr="0021668F">
        <w:rPr>
          <w:rFonts w:ascii="Times New Roman" w:hAnsi="Times New Roman" w:cs="Times New Roman"/>
        </w:rPr>
        <w:fldChar w:fldCharType="begin"/>
      </w:r>
      <w:r w:rsidRPr="0021668F">
        <w:rPr>
          <w:rFonts w:ascii="Times New Roman" w:hAnsi="Times New Roman" w:cs="Times New Roman"/>
        </w:rPr>
        <w:instrText xml:space="preserve"> NOTEREF _Ref181200895 \h </w:instrText>
      </w:r>
      <w:r w:rsidRPr="0021668F">
        <w:rPr>
          <w:rFonts w:ascii="Times New Roman" w:hAnsi="Times New Roman" w:cs="Times New Roman"/>
        </w:rPr>
      </w:r>
      <w:r w:rsidRPr="0021668F">
        <w:rPr>
          <w:rFonts w:ascii="Times New Roman" w:hAnsi="Times New Roman" w:cs="Times New Roman"/>
        </w:rPr>
        <w:instrText xml:space="preserve"> \* MERGEFORMAT </w:instrText>
      </w:r>
      <w:r w:rsidRPr="0021668F">
        <w:rPr>
          <w:rFonts w:ascii="Times New Roman" w:hAnsi="Times New Roman" w:cs="Times New Roman"/>
        </w:rPr>
        <w:fldChar w:fldCharType="separate"/>
      </w:r>
      <w:r w:rsidRPr="0021668F">
        <w:rPr>
          <w:rFonts w:ascii="Times New Roman" w:hAnsi="Times New Roman" w:cs="Times New Roman"/>
        </w:rPr>
        <w:t>5</w:t>
      </w:r>
      <w:r w:rsidRPr="0021668F">
        <w:rPr>
          <w:rFonts w:ascii="Times New Roman" w:hAnsi="Times New Roman" w:cs="Times New Roman"/>
        </w:rPr>
        <w:fldChar w:fldCharType="end"/>
      </w:r>
      <w:r w:rsidRPr="0021668F">
        <w:rPr>
          <w:rFonts w:ascii="Times New Roman" w:hAnsi="Times New Roman" w:cs="Times New Roman"/>
        </w:rPr>
        <w:t xml:space="preserve"> for the current terms of that Order.</w:t>
      </w:r>
    </w:p>
  </w:endnote>
  <w:endnote w:id="22">
    <w:p w14:paraId="453C2C5C" w14:textId="2C273A68" w:rsidR="0021668F" w:rsidRPr="0021668F" w:rsidRDefault="0021668F">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See, eg, Thorburn et al (n </w:t>
      </w:r>
      <w:r w:rsidRPr="0021668F">
        <w:rPr>
          <w:rFonts w:ascii="Times New Roman" w:hAnsi="Times New Roman" w:cs="Times New Roman"/>
        </w:rPr>
        <w:fldChar w:fldCharType="begin"/>
      </w:r>
      <w:r w:rsidRPr="0021668F">
        <w:rPr>
          <w:rFonts w:ascii="Times New Roman" w:hAnsi="Times New Roman" w:cs="Times New Roman"/>
        </w:rPr>
        <w:instrText xml:space="preserve"> NOTEREF _Ref181201420 \h </w:instrText>
      </w:r>
      <w:r w:rsidRPr="0021668F">
        <w:rPr>
          <w:rFonts w:ascii="Times New Roman" w:hAnsi="Times New Roman" w:cs="Times New Roman"/>
        </w:rPr>
      </w:r>
      <w:r w:rsidRPr="0021668F">
        <w:rPr>
          <w:rFonts w:ascii="Times New Roman" w:hAnsi="Times New Roman" w:cs="Times New Roman"/>
        </w:rPr>
        <w:instrText xml:space="preserve"> \* MERGEFORMAT </w:instrText>
      </w:r>
      <w:r w:rsidRPr="0021668F">
        <w:rPr>
          <w:rFonts w:ascii="Times New Roman" w:hAnsi="Times New Roman" w:cs="Times New Roman"/>
        </w:rPr>
        <w:fldChar w:fldCharType="separate"/>
      </w:r>
      <w:r w:rsidRPr="0021668F">
        <w:rPr>
          <w:rFonts w:ascii="Times New Roman" w:hAnsi="Times New Roman" w:cs="Times New Roman"/>
        </w:rPr>
        <w:t>11</w:t>
      </w:r>
      <w:r w:rsidRPr="0021668F">
        <w:rPr>
          <w:rFonts w:ascii="Times New Roman" w:hAnsi="Times New Roman" w:cs="Times New Roman"/>
        </w:rPr>
        <w:fldChar w:fldCharType="end"/>
      </w:r>
      <w:r w:rsidRPr="0021668F">
        <w:rPr>
          <w:rFonts w:ascii="Times New Roman" w:hAnsi="Times New Roman" w:cs="Times New Roman"/>
        </w:rPr>
        <w:t>).</w:t>
      </w:r>
    </w:p>
  </w:endnote>
  <w:endnote w:id="23">
    <w:p w14:paraId="4CF9B1B3" w14:textId="5D4393AE" w:rsidR="0021668F" w:rsidRPr="0021668F" w:rsidRDefault="0021668F">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w:t>
      </w:r>
      <w:r w:rsidRPr="0021668F">
        <w:rPr>
          <w:rFonts w:ascii="Times New Roman" w:hAnsi="Times New Roman" w:cs="Times New Roman"/>
          <w:i/>
          <w:iCs/>
        </w:rPr>
        <w:t xml:space="preserve">Modern Engineering (Bristol) Ltd v Gilbert-Ash (Northern) Ltd </w:t>
      </w:r>
      <w:r w:rsidRPr="0021668F">
        <w:rPr>
          <w:rFonts w:ascii="Times New Roman" w:hAnsi="Times New Roman" w:cs="Times New Roman"/>
        </w:rPr>
        <w:t>(1973) 71 LGR 162, 167 (Lord Denning MR).</w:t>
      </w:r>
    </w:p>
  </w:endnote>
  <w:endnote w:id="24">
    <w:p w14:paraId="6D947300" w14:textId="07C84CD2" w:rsidR="0021668F" w:rsidRPr="0021668F" w:rsidRDefault="0021668F" w:rsidP="00362350">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Though the report and response relates almost entirely to the </w:t>
      </w:r>
      <w:r w:rsidRPr="0021668F">
        <w:rPr>
          <w:rFonts w:ascii="Times New Roman" w:hAnsi="Times New Roman" w:cs="Times New Roman"/>
          <w:i/>
          <w:iCs/>
        </w:rPr>
        <w:t xml:space="preserve">Building and Construction Industry Security of Payment Act 2002 </w:t>
      </w:r>
      <w:r w:rsidRPr="0021668F">
        <w:rPr>
          <w:rFonts w:ascii="Times New Roman" w:hAnsi="Times New Roman" w:cs="Times New Roman"/>
        </w:rPr>
        <w:t>(Vic) (“</w:t>
      </w:r>
      <w:r w:rsidRPr="0021668F">
        <w:rPr>
          <w:rFonts w:ascii="Times New Roman" w:hAnsi="Times New Roman" w:cs="Times New Roman"/>
          <w:i/>
          <w:iCs/>
        </w:rPr>
        <w:t>Vic SOP Act</w:t>
      </w:r>
      <w:r w:rsidRPr="0021668F">
        <w:rPr>
          <w:rFonts w:ascii="Times New Roman" w:hAnsi="Times New Roman" w:cs="Times New Roman"/>
        </w:rPr>
        <w:t>”), the report’s title is somewhat opaque as to that being the intent (</w:t>
      </w:r>
      <w:r w:rsidRPr="0021668F">
        <w:rPr>
          <w:rFonts w:ascii="Times New Roman" w:hAnsi="Times New Roman" w:cs="Times New Roman"/>
          <w:i/>
          <w:iCs/>
        </w:rPr>
        <w:t>Report on the Inquiry into Employers and Contractors…</w:t>
      </w:r>
      <w:r w:rsidRPr="0021668F">
        <w:rPr>
          <w:rFonts w:ascii="Times New Roman" w:hAnsi="Times New Roman" w:cs="Times New Roman"/>
        </w:rPr>
        <w:t xml:space="preserve">: above n </w:t>
      </w:r>
      <w:r w:rsidRPr="0021668F">
        <w:rPr>
          <w:rFonts w:ascii="Times New Roman" w:hAnsi="Times New Roman" w:cs="Times New Roman"/>
        </w:rPr>
        <w:fldChar w:fldCharType="begin"/>
      </w:r>
      <w:r w:rsidRPr="0021668F">
        <w:rPr>
          <w:rFonts w:ascii="Times New Roman" w:hAnsi="Times New Roman" w:cs="Times New Roman"/>
        </w:rPr>
        <w:instrText xml:space="preserve"> NOTEREF _Ref181215555 \h </w:instrText>
      </w:r>
      <w:r w:rsidRPr="0021668F">
        <w:rPr>
          <w:rFonts w:ascii="Times New Roman" w:hAnsi="Times New Roman" w:cs="Times New Roman"/>
        </w:rPr>
      </w:r>
      <w:r w:rsidRPr="0021668F">
        <w:rPr>
          <w:rFonts w:ascii="Times New Roman" w:hAnsi="Times New Roman" w:cs="Times New Roman"/>
        </w:rPr>
        <w:instrText xml:space="preserve"> \* MERGEFORMAT </w:instrText>
      </w:r>
      <w:r w:rsidRPr="0021668F">
        <w:rPr>
          <w:rFonts w:ascii="Times New Roman" w:hAnsi="Times New Roman" w:cs="Times New Roman"/>
        </w:rPr>
        <w:fldChar w:fldCharType="separate"/>
      </w:r>
      <w:r w:rsidRPr="0021668F">
        <w:rPr>
          <w:rFonts w:ascii="Times New Roman" w:hAnsi="Times New Roman" w:cs="Times New Roman"/>
        </w:rPr>
        <w:t>4</w:t>
      </w:r>
      <w:r w:rsidRPr="0021668F">
        <w:rPr>
          <w:rFonts w:ascii="Times New Roman" w:hAnsi="Times New Roman" w:cs="Times New Roman"/>
        </w:rPr>
        <w:fldChar w:fldCharType="end"/>
      </w:r>
      <w:r w:rsidRPr="0021668F">
        <w:rPr>
          <w:rFonts w:ascii="Times New Roman" w:hAnsi="Times New Roman" w:cs="Times New Roman"/>
        </w:rPr>
        <w:t>).</w:t>
      </w:r>
    </w:p>
  </w:endnote>
  <w:endnote w:id="25">
    <w:p w14:paraId="3BBE976E" w14:textId="6ECCBCCA" w:rsidR="0021668F" w:rsidRPr="0021668F" w:rsidRDefault="0021668F">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Ibid p 2.</w:t>
      </w:r>
    </w:p>
  </w:endnote>
  <w:endnote w:id="26">
    <w:p w14:paraId="4D3BA30E" w14:textId="6BA38009" w:rsidR="0021668F" w:rsidRPr="0021668F" w:rsidRDefault="0021668F" w:rsidP="00511CBE">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Primarily by way of </w:t>
      </w:r>
      <w:r w:rsidRPr="0021668F">
        <w:rPr>
          <w:rFonts w:ascii="Times New Roman" w:hAnsi="Times New Roman" w:cs="Times New Roman"/>
          <w:i/>
          <w:iCs/>
        </w:rPr>
        <w:t xml:space="preserve">Vic SOP Act </w:t>
      </w:r>
      <w:r w:rsidRPr="0021668F">
        <w:rPr>
          <w:rFonts w:ascii="Times New Roman" w:hAnsi="Times New Roman" w:cs="Times New Roman"/>
        </w:rPr>
        <w:t xml:space="preserve">ss 10-10B; see, eg, Sean Kelly, Julian Bailey and Matthew Bell, “Statutory adjudication in Australia” in Renato Nazzini (ed), </w:t>
      </w:r>
      <w:r w:rsidRPr="0021668F">
        <w:rPr>
          <w:rFonts w:ascii="Times New Roman" w:hAnsi="Times New Roman" w:cs="Times New Roman"/>
          <w:i/>
          <w:iCs/>
        </w:rPr>
        <w:t xml:space="preserve">Construction Arbitration and Alternative Dispute Resolution: Theory and Practice Around the World </w:t>
      </w:r>
      <w:r w:rsidRPr="0021668F">
        <w:rPr>
          <w:rFonts w:ascii="Times New Roman" w:hAnsi="Times New Roman" w:cs="Times New Roman"/>
        </w:rPr>
        <w:t xml:space="preserve">(Informa, 2022) </w:t>
      </w:r>
      <w:r w:rsidRPr="0021668F">
        <w:rPr>
          <w:rFonts w:ascii="Times New Roman" w:hAnsi="Times New Roman" w:cs="Times New Roman"/>
        </w:rPr>
        <w:t xml:space="preserve">pp </w:t>
      </w:r>
      <w:r w:rsidRPr="0021668F">
        <w:rPr>
          <w:rFonts w:ascii="Times New Roman" w:hAnsi="Times New Roman" w:cs="Times New Roman"/>
        </w:rPr>
        <w:t>267-269.</w:t>
      </w:r>
    </w:p>
  </w:endnote>
  <w:endnote w:id="27">
    <w:p w14:paraId="38F0F9A2" w14:textId="08F6DECB" w:rsidR="0021668F" w:rsidRPr="0021668F" w:rsidRDefault="0021668F">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Andrew Stephenson, Joseph Barbaro, Jey Nandacumaran and Robert Kalenderian, “Victorian Government Endorses Recommendations to Amend Security of Payment Act” (23 October 2024):  https://www.corrs.com.au/insights/victorian-government-endorses-recommendations-to-amend-security-of-payment-act.</w:t>
      </w:r>
    </w:p>
  </w:endnote>
  <w:endnote w:id="28">
    <w:p w14:paraId="63412714" w14:textId="2670CB84" w:rsidR="0021668F" w:rsidRPr="0021668F" w:rsidRDefault="0021668F">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See, eg, </w:t>
      </w:r>
      <w:r w:rsidRPr="0021668F">
        <w:rPr>
          <w:rFonts w:ascii="Times New Roman" w:hAnsi="Times New Roman" w:cs="Times New Roman"/>
          <w:i/>
          <w:iCs/>
        </w:rPr>
        <w:t>Babicka v ASD Corporation Aust Pty Ltd</w:t>
      </w:r>
      <w:r w:rsidRPr="0021668F">
        <w:rPr>
          <w:rFonts w:ascii="Times New Roman" w:hAnsi="Times New Roman" w:cs="Times New Roman"/>
        </w:rPr>
        <w:t xml:space="preserve"> [2024] VSC 587 and </w:t>
      </w:r>
      <w:r w:rsidRPr="0021668F">
        <w:rPr>
          <w:rFonts w:ascii="Times New Roman" w:hAnsi="Times New Roman" w:cs="Times New Roman"/>
          <w:i/>
          <w:iCs/>
        </w:rPr>
        <w:t xml:space="preserve">Dickson Developments Precinct 5 Pty Ltd v Core Building Group Pty Ltd </w:t>
      </w:r>
      <w:r w:rsidRPr="0021668F">
        <w:rPr>
          <w:rFonts w:ascii="Times New Roman" w:hAnsi="Times New Roman" w:cs="Times New Roman"/>
        </w:rPr>
        <w:t>[2024] FCA 86 (on the equivalent ACT legislation before the concept was removed from it).</w:t>
      </w:r>
    </w:p>
  </w:endnote>
  <w:endnote w:id="29">
    <w:p w14:paraId="411F2C38" w14:textId="15F31A86" w:rsidR="0021668F" w:rsidRPr="0021668F" w:rsidRDefault="0021668F">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Philip Davenport, </w:t>
      </w:r>
      <w:r w:rsidRPr="0021668F">
        <w:rPr>
          <w:rFonts w:ascii="Times New Roman" w:hAnsi="Times New Roman" w:cs="Times New Roman"/>
          <w:i/>
          <w:iCs/>
        </w:rPr>
        <w:t>Adjudication in the Building Industry</w:t>
      </w:r>
      <w:r w:rsidRPr="0021668F">
        <w:rPr>
          <w:rFonts w:ascii="Times New Roman" w:hAnsi="Times New Roman" w:cs="Times New Roman"/>
        </w:rPr>
        <w:t xml:space="preserve"> (3</w:t>
      </w:r>
      <w:r w:rsidRPr="0021668F">
        <w:rPr>
          <w:rFonts w:ascii="Times New Roman" w:hAnsi="Times New Roman" w:cs="Times New Roman"/>
          <w:vertAlign w:val="superscript"/>
        </w:rPr>
        <w:t>rd</w:t>
      </w:r>
      <w:r w:rsidRPr="0021668F">
        <w:rPr>
          <w:rFonts w:ascii="Times New Roman" w:hAnsi="Times New Roman" w:cs="Times New Roman"/>
        </w:rPr>
        <w:t xml:space="preserve"> ed, Federation Press, 2010) p 3. </w:t>
      </w:r>
    </w:p>
  </w:endnote>
  <w:endnote w:id="30">
    <w:p w14:paraId="4882F0BB" w14:textId="7E8E2774" w:rsidR="0021668F" w:rsidRPr="0021668F" w:rsidRDefault="0021668F">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w:t>
      </w:r>
      <w:r w:rsidRPr="0021668F">
        <w:rPr>
          <w:rFonts w:ascii="Times New Roman" w:hAnsi="Times New Roman" w:cs="Times New Roman"/>
          <w:i/>
          <w:iCs/>
        </w:rPr>
        <w:t xml:space="preserve">Vic SOP Act </w:t>
      </w:r>
      <w:r w:rsidRPr="0021668F">
        <w:rPr>
          <w:rFonts w:ascii="Times New Roman" w:hAnsi="Times New Roman" w:cs="Times New Roman"/>
        </w:rPr>
        <w:t>s 12.</w:t>
      </w:r>
    </w:p>
  </w:endnote>
  <w:endnote w:id="31">
    <w:p w14:paraId="4F396CDA" w14:textId="413759EB" w:rsidR="0021668F" w:rsidRPr="0021668F" w:rsidRDefault="0021668F">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See, eg, the description of the UK </w:t>
      </w:r>
      <w:r w:rsidRPr="0021668F">
        <w:rPr>
          <w:rFonts w:ascii="Times New Roman" w:hAnsi="Times New Roman" w:cs="Times New Roman"/>
          <w:i/>
          <w:iCs/>
        </w:rPr>
        <w:t xml:space="preserve">Housing Grants, Construction and Regeneration Act 1996 </w:t>
      </w:r>
      <w:r w:rsidRPr="0021668F">
        <w:rPr>
          <w:rFonts w:ascii="Times New Roman" w:hAnsi="Times New Roman" w:cs="Times New Roman"/>
        </w:rPr>
        <w:t xml:space="preserve">(UK) – the antecedent to the Australian legislation – as a “whirlwind hitting the industry”: Rupert Jackson, Nicholas Higgs and Hannah Fry, “The TCC and the Housing Grants, Construction and Regeneration Act 1996” in Peter Coulson and David Sawtell (eds), </w:t>
      </w:r>
      <w:r w:rsidRPr="0021668F">
        <w:rPr>
          <w:rFonts w:ascii="Times New Roman" w:hAnsi="Times New Roman" w:cs="Times New Roman"/>
          <w:i/>
          <w:iCs/>
        </w:rPr>
        <w:t>The History of the Technology and Construction Court on its 150</w:t>
      </w:r>
      <w:r w:rsidRPr="0021668F">
        <w:rPr>
          <w:rFonts w:ascii="Times New Roman" w:hAnsi="Times New Roman" w:cs="Times New Roman"/>
          <w:i/>
          <w:iCs/>
          <w:vertAlign w:val="superscript"/>
        </w:rPr>
        <w:t>th</w:t>
      </w:r>
      <w:r w:rsidRPr="0021668F">
        <w:rPr>
          <w:rFonts w:ascii="Times New Roman" w:hAnsi="Times New Roman" w:cs="Times New Roman"/>
          <w:i/>
          <w:iCs/>
        </w:rPr>
        <w:t xml:space="preserve"> Anniversary </w:t>
      </w:r>
      <w:r w:rsidRPr="0021668F">
        <w:rPr>
          <w:rFonts w:ascii="Times New Roman" w:hAnsi="Times New Roman" w:cs="Times New Roman"/>
        </w:rPr>
        <w:t>(Hart Publishing, 2023) p 133.</w:t>
      </w:r>
    </w:p>
  </w:endnote>
  <w:endnote w:id="32">
    <w:p w14:paraId="07CED7BA" w14:textId="5712509F" w:rsidR="0021668F" w:rsidRPr="0021668F" w:rsidRDefault="0021668F">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See, eg, Juliana Jorissen, Katherine Vines, Jordana Sisarich and Su-En Hia, “Building fairness - updates to the unfair contracting terms regime and how to avoid unfair terms in standard form construction contracts” (2024) 33(5&amp;6) </w:t>
      </w:r>
      <w:r w:rsidRPr="0021668F">
        <w:rPr>
          <w:rFonts w:ascii="Times New Roman" w:hAnsi="Times New Roman" w:cs="Times New Roman"/>
          <w:i/>
          <w:iCs/>
        </w:rPr>
        <w:t>ACLB</w:t>
      </w:r>
      <w:r w:rsidRPr="0021668F">
        <w:rPr>
          <w:rFonts w:ascii="Times New Roman" w:hAnsi="Times New Roman" w:cs="Times New Roman"/>
        </w:rPr>
        <w:t xml:space="preserve"> 36.</w:t>
      </w:r>
    </w:p>
  </w:endnote>
  <w:endnote w:id="33">
    <w:p w14:paraId="2A02039C" w14:textId="5CDB4218" w:rsidR="0021668F" w:rsidRPr="0021668F" w:rsidRDefault="0021668F">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w:t>
      </w:r>
      <w:proofErr w:type="spellStart"/>
      <w:r w:rsidRPr="0021668F">
        <w:rPr>
          <w:rFonts w:ascii="Times New Roman" w:hAnsi="Times New Roman" w:cs="Times New Roman"/>
        </w:rPr>
        <w:t>See n</w:t>
      </w:r>
      <w:proofErr w:type="spellEnd"/>
      <w:r w:rsidRPr="0021668F">
        <w:rPr>
          <w:rFonts w:ascii="Times New Roman" w:hAnsi="Times New Roman" w:cs="Times New Roman"/>
        </w:rPr>
        <w:t xml:space="preserve"> </w:t>
      </w:r>
      <w:r w:rsidRPr="0021668F">
        <w:rPr>
          <w:rFonts w:ascii="Times New Roman" w:hAnsi="Times New Roman" w:cs="Times New Roman"/>
        </w:rPr>
        <w:fldChar w:fldCharType="begin"/>
      </w:r>
      <w:r w:rsidRPr="0021668F">
        <w:rPr>
          <w:rFonts w:ascii="Times New Roman" w:hAnsi="Times New Roman" w:cs="Times New Roman"/>
        </w:rPr>
        <w:instrText xml:space="preserve"> NOTEREF _Ref181215555 \h </w:instrText>
      </w:r>
      <w:r w:rsidRPr="0021668F">
        <w:rPr>
          <w:rFonts w:ascii="Times New Roman" w:hAnsi="Times New Roman" w:cs="Times New Roman"/>
        </w:rPr>
      </w:r>
      <w:r w:rsidRPr="0021668F">
        <w:rPr>
          <w:rFonts w:ascii="Times New Roman" w:hAnsi="Times New Roman" w:cs="Times New Roman"/>
        </w:rPr>
        <w:instrText xml:space="preserve"> \* MERGEFORMAT </w:instrText>
      </w:r>
      <w:r w:rsidRPr="0021668F">
        <w:rPr>
          <w:rFonts w:ascii="Times New Roman" w:hAnsi="Times New Roman" w:cs="Times New Roman"/>
        </w:rPr>
        <w:fldChar w:fldCharType="separate"/>
      </w:r>
      <w:r w:rsidRPr="0021668F">
        <w:rPr>
          <w:rFonts w:ascii="Times New Roman" w:hAnsi="Times New Roman" w:cs="Times New Roman"/>
        </w:rPr>
        <w:t>4</w:t>
      </w:r>
      <w:r w:rsidRPr="0021668F">
        <w:rPr>
          <w:rFonts w:ascii="Times New Roman" w:hAnsi="Times New Roman" w:cs="Times New Roman"/>
        </w:rPr>
        <w:fldChar w:fldCharType="end"/>
      </w:r>
      <w:r w:rsidRPr="0021668F">
        <w:rPr>
          <w:rFonts w:ascii="Times New Roman" w:hAnsi="Times New Roman" w:cs="Times New Roman"/>
        </w:rPr>
        <w:t xml:space="preserve"> above.</w:t>
      </w:r>
    </w:p>
  </w:endnote>
  <w:endnote w:id="34">
    <w:p w14:paraId="0027EA3E" w14:textId="48B13694" w:rsidR="0021668F" w:rsidRPr="0021668F" w:rsidRDefault="0021668F">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w:t>
      </w:r>
      <w:r w:rsidRPr="0021668F">
        <w:rPr>
          <w:rFonts w:ascii="Times New Roman" w:hAnsi="Times New Roman" w:cs="Times New Roman"/>
          <w:i/>
          <w:iCs/>
        </w:rPr>
        <w:t xml:space="preserve">Vic SOP Act </w:t>
      </w:r>
      <w:r w:rsidRPr="0021668F">
        <w:rPr>
          <w:rFonts w:ascii="Times New Roman" w:hAnsi="Times New Roman" w:cs="Times New Roman"/>
        </w:rPr>
        <w:t xml:space="preserve">s 7(2)(b). See Jos Mulcahy, “The Victorian security of payment legislation — when is a residential owner in the business of building residences?” (2024) 33(7) </w:t>
      </w:r>
      <w:r w:rsidRPr="0021668F">
        <w:rPr>
          <w:rFonts w:ascii="Times New Roman" w:hAnsi="Times New Roman" w:cs="Times New Roman"/>
          <w:i/>
          <w:iCs/>
        </w:rPr>
        <w:t>ACLB</w:t>
      </w:r>
      <w:r w:rsidRPr="0021668F">
        <w:rPr>
          <w:rFonts w:ascii="Times New Roman" w:hAnsi="Times New Roman" w:cs="Times New Roman"/>
        </w:rPr>
        <w:t xml:space="preserve"> 50.</w:t>
      </w:r>
    </w:p>
  </w:endnote>
  <w:endnote w:id="35">
    <w:p w14:paraId="2AEE81E8" w14:textId="72B9F314" w:rsidR="0021668F" w:rsidRPr="0021668F" w:rsidRDefault="0021668F" w:rsidP="00A225F8">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There remains a view – though, for now, perhaps just a pipedream – that innovations such as blockchain might offer a more sustainable solution for ensuring timely payment: see, eg, Salar Ahmadisheykhsarmast and Rifat Sonmez, “A Smart Contract System for Security of Payment of Construction Contracts” (2020) 120 </w:t>
      </w:r>
      <w:r w:rsidRPr="0021668F">
        <w:rPr>
          <w:rFonts w:ascii="Times New Roman" w:hAnsi="Times New Roman" w:cs="Times New Roman"/>
          <w:i/>
          <w:iCs/>
        </w:rPr>
        <w:t>Automation in Construction</w:t>
      </w:r>
      <w:r w:rsidRPr="0021668F">
        <w:rPr>
          <w:rFonts w:ascii="Times New Roman" w:hAnsi="Times New Roman" w:cs="Times New Roman"/>
        </w:rPr>
        <w:t xml:space="preserve"> 103401.</w:t>
      </w:r>
    </w:p>
  </w:endnote>
  <w:endnote w:id="36">
    <w:p w14:paraId="3235AB19" w14:textId="60AAFDC4" w:rsidR="0021668F" w:rsidRPr="0021668F" w:rsidRDefault="0021668F">
      <w:pPr>
        <w:pStyle w:val="EndnoteText"/>
        <w:rPr>
          <w:rFonts w:ascii="Times New Roman" w:hAnsi="Times New Roman" w:cs="Times New Roman"/>
          <w:b/>
          <w:bCs/>
        </w:rPr>
      </w:pPr>
      <w:r w:rsidRPr="0021668F">
        <w:rPr>
          <w:rStyle w:val="EndnoteReference"/>
          <w:rFonts w:ascii="Times New Roman" w:hAnsi="Times New Roman" w:cs="Times New Roman"/>
        </w:rPr>
        <w:endnoteRef/>
      </w:r>
      <w:r w:rsidRPr="0021668F">
        <w:rPr>
          <w:rFonts w:ascii="Times New Roman" w:hAnsi="Times New Roman" w:cs="Times New Roman"/>
        </w:rPr>
        <w:t xml:space="preserve"> See, eg, Society of Construction Law Australia, “</w:t>
      </w:r>
      <w:r w:rsidRPr="0021668F">
        <w:rPr>
          <w:rFonts w:ascii="Times New Roman" w:hAnsi="Times New Roman" w:cs="Times New Roman"/>
        </w:rPr>
        <w:t>Report on Security of Payment and Adjudication in the Australian Construction Industry</w:t>
      </w:r>
      <w:r w:rsidRPr="0021668F">
        <w:rPr>
          <w:rFonts w:ascii="Times New Roman" w:hAnsi="Times New Roman" w:cs="Times New Roman"/>
        </w:rPr>
        <w:t>”</w:t>
      </w:r>
      <w:r w:rsidRPr="0021668F">
        <w:rPr>
          <w:rFonts w:ascii="Times New Roman" w:hAnsi="Times New Roman" w:cs="Times New Roman"/>
        </w:rPr>
        <w:t xml:space="preserve"> (2014)</w:t>
      </w:r>
      <w:r w:rsidRPr="0021668F">
        <w:rPr>
          <w:rFonts w:ascii="Times New Roman" w:hAnsi="Times New Roman" w:cs="Times New Roman"/>
        </w:rPr>
        <w:t>.</w:t>
      </w:r>
    </w:p>
  </w:endnote>
  <w:endnote w:id="37">
    <w:p w14:paraId="33DBFC02" w14:textId="4D4E0964" w:rsidR="0021668F" w:rsidRPr="0021668F" w:rsidRDefault="0021668F">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Bell (above n </w:t>
      </w:r>
      <w:r w:rsidRPr="0021668F">
        <w:rPr>
          <w:rFonts w:ascii="Times New Roman" w:hAnsi="Times New Roman" w:cs="Times New Roman"/>
        </w:rPr>
        <w:fldChar w:fldCharType="begin"/>
      </w:r>
      <w:r w:rsidRPr="0021668F">
        <w:rPr>
          <w:rFonts w:ascii="Times New Roman" w:hAnsi="Times New Roman" w:cs="Times New Roman"/>
        </w:rPr>
        <w:instrText xml:space="preserve"> NOTEREF _Ref181213174 \h </w:instrText>
      </w:r>
      <w:r w:rsidRPr="0021668F">
        <w:rPr>
          <w:rFonts w:ascii="Times New Roman" w:hAnsi="Times New Roman" w:cs="Times New Roman"/>
        </w:rPr>
      </w:r>
      <w:r w:rsidRPr="0021668F">
        <w:rPr>
          <w:rFonts w:ascii="Times New Roman" w:hAnsi="Times New Roman" w:cs="Times New Roman"/>
        </w:rPr>
        <w:instrText xml:space="preserve"> \* MERGEFORMAT </w:instrText>
      </w:r>
      <w:r w:rsidRPr="0021668F">
        <w:rPr>
          <w:rFonts w:ascii="Times New Roman" w:hAnsi="Times New Roman" w:cs="Times New Roman"/>
        </w:rPr>
        <w:fldChar w:fldCharType="separate"/>
      </w:r>
      <w:r w:rsidRPr="0021668F">
        <w:rPr>
          <w:rFonts w:ascii="Times New Roman" w:hAnsi="Times New Roman" w:cs="Times New Roman"/>
        </w:rPr>
        <w:t>9</w:t>
      </w:r>
      <w:r w:rsidRPr="0021668F">
        <w:rPr>
          <w:rFonts w:ascii="Times New Roman" w:hAnsi="Times New Roman" w:cs="Times New Roman"/>
        </w:rPr>
        <w:fldChar w:fldCharType="end"/>
      </w:r>
      <w:r w:rsidRPr="0021668F">
        <w:rPr>
          <w:rFonts w:ascii="Times New Roman" w:hAnsi="Times New Roman" w:cs="Times New Roman"/>
        </w:rPr>
        <w:t>) pp 86-88.</w:t>
      </w:r>
    </w:p>
  </w:endnote>
  <w:endnote w:id="38">
    <w:p w14:paraId="27F60D0F" w14:textId="77777777" w:rsidR="0021668F" w:rsidRPr="0021668F" w:rsidRDefault="0021668F" w:rsidP="00060398">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Bronwyn Weir and Frances Hall, “Victorian Building Authority – The Case for Transformation” (October 2024).</w:t>
      </w:r>
    </w:p>
  </w:endnote>
  <w:endnote w:id="39">
    <w:p w14:paraId="558DF9A0" w14:textId="4F470680" w:rsidR="0021668F" w:rsidRPr="0021668F" w:rsidRDefault="0021668F">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w:t>
      </w:r>
      <w:r w:rsidRPr="0021668F">
        <w:rPr>
          <w:rFonts w:ascii="Times New Roman" w:hAnsi="Times New Roman" w:cs="Times New Roman"/>
        </w:rPr>
        <w:t>Building Confidence: Improving the Effectiveness of Compliance and Enforcement Systems for the Building and Construction Industry Across Australia</w:t>
      </w:r>
      <w:r w:rsidRPr="0021668F">
        <w:rPr>
          <w:rFonts w:ascii="Times New Roman" w:hAnsi="Times New Roman" w:cs="Times New Roman"/>
        </w:rPr>
        <w:t>” (2018).</w:t>
      </w:r>
    </w:p>
  </w:endnote>
  <w:endnote w:id="40">
    <w:p w14:paraId="38335DB5" w14:textId="7FD36656" w:rsidR="0021668F" w:rsidRPr="0021668F" w:rsidRDefault="0021668F">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https://www.vba.vic.gov.au/news/news/2024/statement-from-vba-ceo-and-commissioner-anna-cronin.</w:t>
      </w:r>
    </w:p>
  </w:endnote>
  <w:endnote w:id="41">
    <w:p w14:paraId="1EE504AA" w14:textId="267B2F34" w:rsidR="0021668F" w:rsidRPr="0021668F" w:rsidRDefault="0021668F">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w:t>
      </w:r>
      <w:r w:rsidRPr="0021668F">
        <w:rPr>
          <w:rFonts w:ascii="Times New Roman" w:hAnsi="Times New Roman" w:cs="Times New Roman"/>
        </w:rPr>
        <w:t xml:space="preserve">Grenfell Tower Inquiry, </w:t>
      </w:r>
      <w:r w:rsidRPr="0021668F">
        <w:rPr>
          <w:rFonts w:ascii="Times New Roman" w:hAnsi="Times New Roman" w:cs="Times New Roman"/>
          <w:i/>
          <w:iCs/>
        </w:rPr>
        <w:t xml:space="preserve">Phase 2 Report of the Public Inquiry into the Fire at Grenfell Tower on 14 June 2017 </w:t>
      </w:r>
      <w:r w:rsidRPr="0021668F">
        <w:rPr>
          <w:rFonts w:ascii="Times New Roman" w:hAnsi="Times New Roman" w:cs="Times New Roman"/>
        </w:rPr>
        <w:t>(HMSO, 2024)</w:t>
      </w:r>
      <w:r w:rsidRPr="0021668F">
        <w:rPr>
          <w:rFonts w:ascii="Times New Roman" w:hAnsi="Times New Roman" w:cs="Times New Roman"/>
        </w:rPr>
        <w:t>.</w:t>
      </w:r>
    </w:p>
  </w:endnote>
  <w:endnote w:id="42">
    <w:p w14:paraId="006554FC" w14:textId="2CEFA6A9" w:rsidR="0021668F" w:rsidRPr="0021668F" w:rsidRDefault="0021668F">
      <w:pPr>
        <w:pStyle w:val="EndnoteText"/>
        <w:rPr>
          <w:rFonts w:ascii="Times New Roman" w:hAnsi="Times New Roman" w:cs="Times New Roman"/>
        </w:rPr>
      </w:pPr>
      <w:r w:rsidRPr="0021668F">
        <w:rPr>
          <w:rStyle w:val="EndnoteReference"/>
          <w:rFonts w:ascii="Times New Roman" w:hAnsi="Times New Roman" w:cs="Times New Roman"/>
        </w:rPr>
        <w:endnoteRef/>
      </w:r>
      <w:r w:rsidRPr="0021668F">
        <w:rPr>
          <w:rFonts w:ascii="Times New Roman" w:hAnsi="Times New Roman" w:cs="Times New Roman"/>
        </w:rPr>
        <w:t xml:space="preserve"> Weir and Hall (above n </w:t>
      </w:r>
      <w:r w:rsidRPr="0021668F">
        <w:rPr>
          <w:rFonts w:ascii="Times New Roman" w:hAnsi="Times New Roman" w:cs="Times New Roman"/>
        </w:rPr>
        <w:fldChar w:fldCharType="begin"/>
      </w:r>
      <w:r w:rsidRPr="0021668F">
        <w:rPr>
          <w:rFonts w:ascii="Times New Roman" w:hAnsi="Times New Roman" w:cs="Times New Roman"/>
        </w:rPr>
        <w:instrText xml:space="preserve"> NOTEREF _Ref181215368 \h </w:instrText>
      </w:r>
      <w:r w:rsidRPr="0021668F">
        <w:rPr>
          <w:rFonts w:ascii="Times New Roman" w:hAnsi="Times New Roman" w:cs="Times New Roman"/>
        </w:rPr>
      </w:r>
      <w:r w:rsidRPr="0021668F">
        <w:rPr>
          <w:rFonts w:ascii="Times New Roman" w:hAnsi="Times New Roman" w:cs="Times New Roman"/>
        </w:rPr>
        <w:instrText xml:space="preserve"> \* MERGEFORMAT </w:instrText>
      </w:r>
      <w:r w:rsidRPr="0021668F">
        <w:rPr>
          <w:rFonts w:ascii="Times New Roman" w:hAnsi="Times New Roman" w:cs="Times New Roman"/>
        </w:rPr>
        <w:fldChar w:fldCharType="separate"/>
      </w:r>
      <w:r w:rsidRPr="0021668F">
        <w:rPr>
          <w:rFonts w:ascii="Times New Roman" w:hAnsi="Times New Roman" w:cs="Times New Roman"/>
        </w:rPr>
        <w:t>36</w:t>
      </w:r>
      <w:r w:rsidRPr="0021668F">
        <w:rPr>
          <w:rFonts w:ascii="Times New Roman" w:hAnsi="Times New Roman" w:cs="Times New Roman"/>
        </w:rPr>
        <w:fldChar w:fldCharType="end"/>
      </w:r>
      <w:r w:rsidRPr="0021668F">
        <w:rPr>
          <w:rFonts w:ascii="Times New Roman" w:hAnsi="Times New Roman" w:cs="Times New Roman"/>
        </w:rPr>
        <w:t>) p 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tima">
    <w:panose1 w:val="02000503060000020004"/>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5802685"/>
      <w:docPartObj>
        <w:docPartGallery w:val="Page Numbers (Bottom of Page)"/>
        <w:docPartUnique/>
      </w:docPartObj>
    </w:sdtPr>
    <w:sdtContent>
      <w:p w14:paraId="5342B41A" w14:textId="59F7F497" w:rsidR="0017533D" w:rsidRDefault="0017533D" w:rsidP="004E0C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11A70F" w14:textId="77777777" w:rsidR="0017533D" w:rsidRDefault="0017533D" w:rsidP="001753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446613876"/>
      <w:docPartObj>
        <w:docPartGallery w:val="Page Numbers (Bottom of Page)"/>
        <w:docPartUnique/>
      </w:docPartObj>
    </w:sdtPr>
    <w:sdtContent>
      <w:p w14:paraId="404BFE8B" w14:textId="7114BC91" w:rsidR="0017533D" w:rsidRPr="0017533D" w:rsidRDefault="0017533D" w:rsidP="004E0CC6">
        <w:pPr>
          <w:pStyle w:val="Footer"/>
          <w:framePr w:wrap="none" w:vAnchor="text" w:hAnchor="margin" w:xAlign="right" w:y="1"/>
          <w:rPr>
            <w:rStyle w:val="PageNumber"/>
            <w:rFonts w:ascii="Times New Roman" w:hAnsi="Times New Roman" w:cs="Times New Roman"/>
          </w:rPr>
        </w:pPr>
        <w:r w:rsidRPr="0017533D">
          <w:rPr>
            <w:rStyle w:val="PageNumber"/>
            <w:rFonts w:ascii="Times New Roman" w:hAnsi="Times New Roman" w:cs="Times New Roman"/>
          </w:rPr>
          <w:fldChar w:fldCharType="begin"/>
        </w:r>
        <w:r w:rsidRPr="0017533D">
          <w:rPr>
            <w:rStyle w:val="PageNumber"/>
            <w:rFonts w:ascii="Times New Roman" w:hAnsi="Times New Roman" w:cs="Times New Roman"/>
          </w:rPr>
          <w:instrText xml:space="preserve"> PAGE </w:instrText>
        </w:r>
        <w:r w:rsidRPr="0017533D">
          <w:rPr>
            <w:rStyle w:val="PageNumber"/>
            <w:rFonts w:ascii="Times New Roman" w:hAnsi="Times New Roman" w:cs="Times New Roman"/>
          </w:rPr>
          <w:fldChar w:fldCharType="separate"/>
        </w:r>
        <w:r w:rsidRPr="0017533D">
          <w:rPr>
            <w:rStyle w:val="PageNumber"/>
            <w:rFonts w:ascii="Times New Roman" w:hAnsi="Times New Roman" w:cs="Times New Roman"/>
            <w:noProof/>
          </w:rPr>
          <w:t>1</w:t>
        </w:r>
        <w:r w:rsidRPr="0017533D">
          <w:rPr>
            <w:rStyle w:val="PageNumber"/>
            <w:rFonts w:ascii="Times New Roman" w:hAnsi="Times New Roman" w:cs="Times New Roman"/>
          </w:rPr>
          <w:fldChar w:fldCharType="end"/>
        </w:r>
      </w:p>
    </w:sdtContent>
  </w:sdt>
  <w:p w14:paraId="2D01FCCD" w14:textId="77777777" w:rsidR="0017533D" w:rsidRPr="0017533D" w:rsidRDefault="0017533D" w:rsidP="0017533D">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C0678" w14:textId="77777777" w:rsidR="00634725" w:rsidRDefault="00634725" w:rsidP="00634725">
      <w:r>
        <w:separator/>
      </w:r>
    </w:p>
  </w:footnote>
  <w:footnote w:type="continuationSeparator" w:id="0">
    <w:p w14:paraId="617F0308" w14:textId="77777777" w:rsidR="00634725" w:rsidRDefault="00634725" w:rsidP="00634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307"/>
    <w:multiLevelType w:val="hybridMultilevel"/>
    <w:tmpl w:val="ADDC6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E05EE"/>
    <w:multiLevelType w:val="hybridMultilevel"/>
    <w:tmpl w:val="6C243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2416B"/>
    <w:multiLevelType w:val="hybridMultilevel"/>
    <w:tmpl w:val="B4F81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11DF9"/>
    <w:multiLevelType w:val="hybridMultilevel"/>
    <w:tmpl w:val="FE025918"/>
    <w:lvl w:ilvl="0" w:tplc="3A18F3BE">
      <w:start w:val="1"/>
      <w:numFmt w:val="decimal"/>
      <w:lvlText w:val="%1."/>
      <w:lvlJc w:val="left"/>
      <w:pPr>
        <w:ind w:left="1080" w:hanging="360"/>
      </w:pPr>
      <w:rPr>
        <w:rFonts w:asciiTheme="minorHAnsi" w:eastAsia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E5310A"/>
    <w:multiLevelType w:val="hybridMultilevel"/>
    <w:tmpl w:val="2DEAB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DC0A15"/>
    <w:multiLevelType w:val="hybridMultilevel"/>
    <w:tmpl w:val="F608512A"/>
    <w:lvl w:ilvl="0" w:tplc="3A18F3BE">
      <w:start w:val="1"/>
      <w:numFmt w:val="decimal"/>
      <w:lvlText w:val="%1."/>
      <w:lvlJc w:val="left"/>
      <w:pPr>
        <w:ind w:left="1080" w:hanging="360"/>
      </w:pPr>
      <w:rPr>
        <w:rFonts w:asciiTheme="minorHAnsi" w:eastAsia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660BB9"/>
    <w:multiLevelType w:val="hybridMultilevel"/>
    <w:tmpl w:val="C672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550949"/>
    <w:multiLevelType w:val="hybridMultilevel"/>
    <w:tmpl w:val="81400A0E"/>
    <w:lvl w:ilvl="0" w:tplc="3A18F3BE">
      <w:start w:val="1"/>
      <w:numFmt w:val="decimal"/>
      <w:lvlText w:val="%1."/>
      <w:lvlJc w:val="left"/>
      <w:pPr>
        <w:ind w:left="1080" w:hanging="360"/>
      </w:pPr>
      <w:rPr>
        <w:rFonts w:asciiTheme="minorHAnsi" w:eastAsia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2E6581A"/>
    <w:multiLevelType w:val="multilevel"/>
    <w:tmpl w:val="6286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8"/>
  </w:num>
  <w:num w:numId="5">
    <w:abstractNumId w:val="7"/>
  </w:num>
  <w:num w:numId="6">
    <w:abstractNumId w:val="3"/>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9E"/>
    <w:rsid w:val="000010FD"/>
    <w:rsid w:val="000035B9"/>
    <w:rsid w:val="000044F4"/>
    <w:rsid w:val="00006A22"/>
    <w:rsid w:val="0001287E"/>
    <w:rsid w:val="0001353F"/>
    <w:rsid w:val="00014D0D"/>
    <w:rsid w:val="00023C9D"/>
    <w:rsid w:val="000279BE"/>
    <w:rsid w:val="00031BEE"/>
    <w:rsid w:val="000329F6"/>
    <w:rsid w:val="000371BC"/>
    <w:rsid w:val="000375E6"/>
    <w:rsid w:val="000379DE"/>
    <w:rsid w:val="00040693"/>
    <w:rsid w:val="00042BE6"/>
    <w:rsid w:val="00045079"/>
    <w:rsid w:val="000471BC"/>
    <w:rsid w:val="00055C8D"/>
    <w:rsid w:val="00060398"/>
    <w:rsid w:val="000639EA"/>
    <w:rsid w:val="000644A6"/>
    <w:rsid w:val="00075F92"/>
    <w:rsid w:val="00076664"/>
    <w:rsid w:val="00077066"/>
    <w:rsid w:val="00082CCF"/>
    <w:rsid w:val="00082F19"/>
    <w:rsid w:val="000877B4"/>
    <w:rsid w:val="0009386D"/>
    <w:rsid w:val="0009392C"/>
    <w:rsid w:val="00095B08"/>
    <w:rsid w:val="000973FB"/>
    <w:rsid w:val="00097636"/>
    <w:rsid w:val="000B0EE8"/>
    <w:rsid w:val="000B42F7"/>
    <w:rsid w:val="000B7557"/>
    <w:rsid w:val="000B7C37"/>
    <w:rsid w:val="000C0C21"/>
    <w:rsid w:val="000C2802"/>
    <w:rsid w:val="000D30D4"/>
    <w:rsid w:val="000D3998"/>
    <w:rsid w:val="000D7238"/>
    <w:rsid w:val="000E1DA6"/>
    <w:rsid w:val="000E24C7"/>
    <w:rsid w:val="000E26C8"/>
    <w:rsid w:val="000E3263"/>
    <w:rsid w:val="000E5302"/>
    <w:rsid w:val="000F0C9C"/>
    <w:rsid w:val="000F1FAB"/>
    <w:rsid w:val="000F2582"/>
    <w:rsid w:val="000F3F21"/>
    <w:rsid w:val="000F71FD"/>
    <w:rsid w:val="000F7CBE"/>
    <w:rsid w:val="00102C08"/>
    <w:rsid w:val="001100D1"/>
    <w:rsid w:val="00110CAA"/>
    <w:rsid w:val="00111B8A"/>
    <w:rsid w:val="00113A60"/>
    <w:rsid w:val="0011711D"/>
    <w:rsid w:val="00125E51"/>
    <w:rsid w:val="00126804"/>
    <w:rsid w:val="00131FED"/>
    <w:rsid w:val="0013326C"/>
    <w:rsid w:val="00134509"/>
    <w:rsid w:val="00142704"/>
    <w:rsid w:val="00143EFF"/>
    <w:rsid w:val="00144B6C"/>
    <w:rsid w:val="001467B2"/>
    <w:rsid w:val="00151F32"/>
    <w:rsid w:val="00160A49"/>
    <w:rsid w:val="0016353E"/>
    <w:rsid w:val="0016546D"/>
    <w:rsid w:val="00172004"/>
    <w:rsid w:val="0017533D"/>
    <w:rsid w:val="0018180C"/>
    <w:rsid w:val="00185069"/>
    <w:rsid w:val="00185641"/>
    <w:rsid w:val="00192D74"/>
    <w:rsid w:val="0019433D"/>
    <w:rsid w:val="0019796E"/>
    <w:rsid w:val="001A75F6"/>
    <w:rsid w:val="001B29B5"/>
    <w:rsid w:val="001B46F5"/>
    <w:rsid w:val="001B59C9"/>
    <w:rsid w:val="001C0EA6"/>
    <w:rsid w:val="001C27D0"/>
    <w:rsid w:val="001C5791"/>
    <w:rsid w:val="001C6A9B"/>
    <w:rsid w:val="001D0AF1"/>
    <w:rsid w:val="001D7323"/>
    <w:rsid w:val="001E0EC1"/>
    <w:rsid w:val="001E1E09"/>
    <w:rsid w:val="001E282B"/>
    <w:rsid w:val="001E5AA8"/>
    <w:rsid w:val="001F2BD4"/>
    <w:rsid w:val="001F4B50"/>
    <w:rsid w:val="00200021"/>
    <w:rsid w:val="00202FE3"/>
    <w:rsid w:val="00203346"/>
    <w:rsid w:val="0021346D"/>
    <w:rsid w:val="0021440D"/>
    <w:rsid w:val="0021668F"/>
    <w:rsid w:val="0022342A"/>
    <w:rsid w:val="00241466"/>
    <w:rsid w:val="00252EEF"/>
    <w:rsid w:val="00254E75"/>
    <w:rsid w:val="00257B6E"/>
    <w:rsid w:val="0026089E"/>
    <w:rsid w:val="002616C0"/>
    <w:rsid w:val="00262C73"/>
    <w:rsid w:val="00264FF4"/>
    <w:rsid w:val="002755FF"/>
    <w:rsid w:val="00280B2A"/>
    <w:rsid w:val="00282924"/>
    <w:rsid w:val="002860E2"/>
    <w:rsid w:val="00286642"/>
    <w:rsid w:val="00290701"/>
    <w:rsid w:val="00291F6A"/>
    <w:rsid w:val="0029584C"/>
    <w:rsid w:val="00295D4F"/>
    <w:rsid w:val="00296032"/>
    <w:rsid w:val="002A2293"/>
    <w:rsid w:val="002A5A28"/>
    <w:rsid w:val="002B0F13"/>
    <w:rsid w:val="002B31DA"/>
    <w:rsid w:val="002B321A"/>
    <w:rsid w:val="002B6EE4"/>
    <w:rsid w:val="002C32EB"/>
    <w:rsid w:val="002C6838"/>
    <w:rsid w:val="002D12FA"/>
    <w:rsid w:val="002D13DD"/>
    <w:rsid w:val="002D550A"/>
    <w:rsid w:val="002D6ABD"/>
    <w:rsid w:val="002D745E"/>
    <w:rsid w:val="002E58D2"/>
    <w:rsid w:val="002E5F7D"/>
    <w:rsid w:val="002E7944"/>
    <w:rsid w:val="002F1F46"/>
    <w:rsid w:val="002F37B2"/>
    <w:rsid w:val="002F4A2A"/>
    <w:rsid w:val="002F5E82"/>
    <w:rsid w:val="003001D2"/>
    <w:rsid w:val="0030024B"/>
    <w:rsid w:val="003035B1"/>
    <w:rsid w:val="00303DEC"/>
    <w:rsid w:val="00307603"/>
    <w:rsid w:val="00312F61"/>
    <w:rsid w:val="00313F19"/>
    <w:rsid w:val="00316441"/>
    <w:rsid w:val="003227F8"/>
    <w:rsid w:val="00326D39"/>
    <w:rsid w:val="00332C2F"/>
    <w:rsid w:val="00333119"/>
    <w:rsid w:val="00340539"/>
    <w:rsid w:val="00340804"/>
    <w:rsid w:val="00344840"/>
    <w:rsid w:val="003449E3"/>
    <w:rsid w:val="00346C06"/>
    <w:rsid w:val="003472CC"/>
    <w:rsid w:val="00350378"/>
    <w:rsid w:val="0035191F"/>
    <w:rsid w:val="003553F2"/>
    <w:rsid w:val="00362350"/>
    <w:rsid w:val="0036361E"/>
    <w:rsid w:val="00372C7F"/>
    <w:rsid w:val="003760FC"/>
    <w:rsid w:val="00376238"/>
    <w:rsid w:val="003806D9"/>
    <w:rsid w:val="00387EA0"/>
    <w:rsid w:val="0039007C"/>
    <w:rsid w:val="00394474"/>
    <w:rsid w:val="003A0505"/>
    <w:rsid w:val="003A132D"/>
    <w:rsid w:val="003C123E"/>
    <w:rsid w:val="003C54BC"/>
    <w:rsid w:val="003D2635"/>
    <w:rsid w:val="003D3C3B"/>
    <w:rsid w:val="003E1F54"/>
    <w:rsid w:val="003F5597"/>
    <w:rsid w:val="003F56C9"/>
    <w:rsid w:val="003F75FE"/>
    <w:rsid w:val="00404BF9"/>
    <w:rsid w:val="00406463"/>
    <w:rsid w:val="00406DB9"/>
    <w:rsid w:val="004242C6"/>
    <w:rsid w:val="00440923"/>
    <w:rsid w:val="00440987"/>
    <w:rsid w:val="004503DB"/>
    <w:rsid w:val="0045247D"/>
    <w:rsid w:val="004625F7"/>
    <w:rsid w:val="00463549"/>
    <w:rsid w:val="004671F1"/>
    <w:rsid w:val="0047239E"/>
    <w:rsid w:val="0047613B"/>
    <w:rsid w:val="00481EE0"/>
    <w:rsid w:val="004823E6"/>
    <w:rsid w:val="00485B9F"/>
    <w:rsid w:val="00490841"/>
    <w:rsid w:val="004A357B"/>
    <w:rsid w:val="004A5E13"/>
    <w:rsid w:val="004B456D"/>
    <w:rsid w:val="004B4AC2"/>
    <w:rsid w:val="004C5932"/>
    <w:rsid w:val="004C6603"/>
    <w:rsid w:val="004E4C69"/>
    <w:rsid w:val="004E51F0"/>
    <w:rsid w:val="004F3DE6"/>
    <w:rsid w:val="004F5507"/>
    <w:rsid w:val="00500689"/>
    <w:rsid w:val="00511CBE"/>
    <w:rsid w:val="00513A7B"/>
    <w:rsid w:val="00513CF0"/>
    <w:rsid w:val="00517925"/>
    <w:rsid w:val="0053303E"/>
    <w:rsid w:val="00534A25"/>
    <w:rsid w:val="00536C1C"/>
    <w:rsid w:val="005376DB"/>
    <w:rsid w:val="005429CD"/>
    <w:rsid w:val="005628F5"/>
    <w:rsid w:val="00570FDB"/>
    <w:rsid w:val="00572550"/>
    <w:rsid w:val="00572AAE"/>
    <w:rsid w:val="00574FA0"/>
    <w:rsid w:val="00586FB0"/>
    <w:rsid w:val="005A12AD"/>
    <w:rsid w:val="005A2FB2"/>
    <w:rsid w:val="005A339F"/>
    <w:rsid w:val="005A7FCF"/>
    <w:rsid w:val="005B2567"/>
    <w:rsid w:val="005B4DA9"/>
    <w:rsid w:val="005B6C45"/>
    <w:rsid w:val="005C1122"/>
    <w:rsid w:val="005C275E"/>
    <w:rsid w:val="005D0DBA"/>
    <w:rsid w:val="005D6144"/>
    <w:rsid w:val="005E7938"/>
    <w:rsid w:val="005F25E5"/>
    <w:rsid w:val="005F2BAD"/>
    <w:rsid w:val="005F4E98"/>
    <w:rsid w:val="005F5DDF"/>
    <w:rsid w:val="005F64F0"/>
    <w:rsid w:val="006000AE"/>
    <w:rsid w:val="00603D4B"/>
    <w:rsid w:val="00611EB4"/>
    <w:rsid w:val="0061540F"/>
    <w:rsid w:val="006162DD"/>
    <w:rsid w:val="00616833"/>
    <w:rsid w:val="00621BFE"/>
    <w:rsid w:val="00634725"/>
    <w:rsid w:val="00635D7C"/>
    <w:rsid w:val="00640EBD"/>
    <w:rsid w:val="006410FC"/>
    <w:rsid w:val="00641773"/>
    <w:rsid w:val="0064213B"/>
    <w:rsid w:val="00643508"/>
    <w:rsid w:val="00645FB8"/>
    <w:rsid w:val="00661AD9"/>
    <w:rsid w:val="00680C2B"/>
    <w:rsid w:val="00683E75"/>
    <w:rsid w:val="006845D7"/>
    <w:rsid w:val="00690FB3"/>
    <w:rsid w:val="006A39D0"/>
    <w:rsid w:val="006A7437"/>
    <w:rsid w:val="006B40E3"/>
    <w:rsid w:val="006B4D43"/>
    <w:rsid w:val="006C1374"/>
    <w:rsid w:val="006D4795"/>
    <w:rsid w:val="006D61E2"/>
    <w:rsid w:val="006D7339"/>
    <w:rsid w:val="006D74FA"/>
    <w:rsid w:val="006E6148"/>
    <w:rsid w:val="006E79DC"/>
    <w:rsid w:val="006F3340"/>
    <w:rsid w:val="006F522F"/>
    <w:rsid w:val="006F607B"/>
    <w:rsid w:val="006F67FB"/>
    <w:rsid w:val="00713043"/>
    <w:rsid w:val="00720DDD"/>
    <w:rsid w:val="00720F5C"/>
    <w:rsid w:val="00721BD8"/>
    <w:rsid w:val="007225F7"/>
    <w:rsid w:val="00722C74"/>
    <w:rsid w:val="00732F81"/>
    <w:rsid w:val="00735D58"/>
    <w:rsid w:val="00740003"/>
    <w:rsid w:val="0074308A"/>
    <w:rsid w:val="007503D2"/>
    <w:rsid w:val="007512D1"/>
    <w:rsid w:val="00757CD6"/>
    <w:rsid w:val="00757EC6"/>
    <w:rsid w:val="00761109"/>
    <w:rsid w:val="007632A0"/>
    <w:rsid w:val="0076541F"/>
    <w:rsid w:val="00771733"/>
    <w:rsid w:val="007719D1"/>
    <w:rsid w:val="00773092"/>
    <w:rsid w:val="00773133"/>
    <w:rsid w:val="0077466E"/>
    <w:rsid w:val="007748CD"/>
    <w:rsid w:val="0077497C"/>
    <w:rsid w:val="0077596B"/>
    <w:rsid w:val="00783A0E"/>
    <w:rsid w:val="00785664"/>
    <w:rsid w:val="00791F56"/>
    <w:rsid w:val="0079236F"/>
    <w:rsid w:val="00792997"/>
    <w:rsid w:val="007953B9"/>
    <w:rsid w:val="007A13C4"/>
    <w:rsid w:val="007A2573"/>
    <w:rsid w:val="007A2E38"/>
    <w:rsid w:val="007A76B5"/>
    <w:rsid w:val="007B4BD5"/>
    <w:rsid w:val="007B7051"/>
    <w:rsid w:val="007C1E54"/>
    <w:rsid w:val="007C4E80"/>
    <w:rsid w:val="007D0708"/>
    <w:rsid w:val="007D148D"/>
    <w:rsid w:val="007E5D84"/>
    <w:rsid w:val="007F3294"/>
    <w:rsid w:val="008019B7"/>
    <w:rsid w:val="00802409"/>
    <w:rsid w:val="00810F2C"/>
    <w:rsid w:val="00825412"/>
    <w:rsid w:val="008303DA"/>
    <w:rsid w:val="00836358"/>
    <w:rsid w:val="00840D32"/>
    <w:rsid w:val="00841AE1"/>
    <w:rsid w:val="00844BFE"/>
    <w:rsid w:val="00855FFF"/>
    <w:rsid w:val="00856AE2"/>
    <w:rsid w:val="008636D1"/>
    <w:rsid w:val="0086528D"/>
    <w:rsid w:val="00865391"/>
    <w:rsid w:val="00865503"/>
    <w:rsid w:val="008764F9"/>
    <w:rsid w:val="00877238"/>
    <w:rsid w:val="00877628"/>
    <w:rsid w:val="00885660"/>
    <w:rsid w:val="008914A9"/>
    <w:rsid w:val="008A063C"/>
    <w:rsid w:val="008A67C9"/>
    <w:rsid w:val="008B2629"/>
    <w:rsid w:val="008B550B"/>
    <w:rsid w:val="008C193C"/>
    <w:rsid w:val="008C3C53"/>
    <w:rsid w:val="008C3E71"/>
    <w:rsid w:val="008C4EBF"/>
    <w:rsid w:val="008C6CC4"/>
    <w:rsid w:val="008C7CAC"/>
    <w:rsid w:val="008D3478"/>
    <w:rsid w:val="008D6E8A"/>
    <w:rsid w:val="008E0AC8"/>
    <w:rsid w:val="008E3151"/>
    <w:rsid w:val="008E6994"/>
    <w:rsid w:val="008E7B34"/>
    <w:rsid w:val="008F23C4"/>
    <w:rsid w:val="008F4901"/>
    <w:rsid w:val="008F5E1B"/>
    <w:rsid w:val="008F6F19"/>
    <w:rsid w:val="008F70B9"/>
    <w:rsid w:val="00900576"/>
    <w:rsid w:val="009006C4"/>
    <w:rsid w:val="009068A5"/>
    <w:rsid w:val="00911F3D"/>
    <w:rsid w:val="00913096"/>
    <w:rsid w:val="009152C8"/>
    <w:rsid w:val="0091565D"/>
    <w:rsid w:val="00934C09"/>
    <w:rsid w:val="009361DA"/>
    <w:rsid w:val="009428C3"/>
    <w:rsid w:val="009429E7"/>
    <w:rsid w:val="009432F3"/>
    <w:rsid w:val="00943F48"/>
    <w:rsid w:val="00945D02"/>
    <w:rsid w:val="00952158"/>
    <w:rsid w:val="00954F8C"/>
    <w:rsid w:val="00967FCE"/>
    <w:rsid w:val="009707D0"/>
    <w:rsid w:val="009734A1"/>
    <w:rsid w:val="009806BA"/>
    <w:rsid w:val="009827B2"/>
    <w:rsid w:val="0098359D"/>
    <w:rsid w:val="00984B3C"/>
    <w:rsid w:val="009A10FD"/>
    <w:rsid w:val="009A1D5D"/>
    <w:rsid w:val="009A2887"/>
    <w:rsid w:val="009A5181"/>
    <w:rsid w:val="009A62D1"/>
    <w:rsid w:val="009B5652"/>
    <w:rsid w:val="009B7705"/>
    <w:rsid w:val="009C1BEA"/>
    <w:rsid w:val="009C7B5D"/>
    <w:rsid w:val="009E06E4"/>
    <w:rsid w:val="009E10AE"/>
    <w:rsid w:val="009E1F56"/>
    <w:rsid w:val="009E5AA0"/>
    <w:rsid w:val="009E6EE7"/>
    <w:rsid w:val="009F3513"/>
    <w:rsid w:val="009F3D0B"/>
    <w:rsid w:val="009F4F8A"/>
    <w:rsid w:val="009F5175"/>
    <w:rsid w:val="009F7794"/>
    <w:rsid w:val="00A05C23"/>
    <w:rsid w:val="00A07CF7"/>
    <w:rsid w:val="00A16C79"/>
    <w:rsid w:val="00A20E23"/>
    <w:rsid w:val="00A225F8"/>
    <w:rsid w:val="00A335CF"/>
    <w:rsid w:val="00A42B09"/>
    <w:rsid w:val="00A46579"/>
    <w:rsid w:val="00A46F33"/>
    <w:rsid w:val="00A5539C"/>
    <w:rsid w:val="00A55E6E"/>
    <w:rsid w:val="00A56D9C"/>
    <w:rsid w:val="00A64C1B"/>
    <w:rsid w:val="00A665E4"/>
    <w:rsid w:val="00A7259A"/>
    <w:rsid w:val="00A73494"/>
    <w:rsid w:val="00A73AD7"/>
    <w:rsid w:val="00A73E06"/>
    <w:rsid w:val="00A74FC8"/>
    <w:rsid w:val="00A75803"/>
    <w:rsid w:val="00A75BA7"/>
    <w:rsid w:val="00A77781"/>
    <w:rsid w:val="00A8665E"/>
    <w:rsid w:val="00A92EF7"/>
    <w:rsid w:val="00A9303B"/>
    <w:rsid w:val="00AA0127"/>
    <w:rsid w:val="00AA267D"/>
    <w:rsid w:val="00AA3DDD"/>
    <w:rsid w:val="00AA5EDE"/>
    <w:rsid w:val="00AA6A1A"/>
    <w:rsid w:val="00AA7955"/>
    <w:rsid w:val="00AA7C48"/>
    <w:rsid w:val="00AB6786"/>
    <w:rsid w:val="00AC0596"/>
    <w:rsid w:val="00AC3BFB"/>
    <w:rsid w:val="00AC759B"/>
    <w:rsid w:val="00AD3026"/>
    <w:rsid w:val="00AE6FFA"/>
    <w:rsid w:val="00AF2EFA"/>
    <w:rsid w:val="00AF5392"/>
    <w:rsid w:val="00B00EAE"/>
    <w:rsid w:val="00B05CB9"/>
    <w:rsid w:val="00B11682"/>
    <w:rsid w:val="00B13B53"/>
    <w:rsid w:val="00B152A6"/>
    <w:rsid w:val="00B15CAE"/>
    <w:rsid w:val="00B17C89"/>
    <w:rsid w:val="00B206B7"/>
    <w:rsid w:val="00B20DE0"/>
    <w:rsid w:val="00B254F2"/>
    <w:rsid w:val="00B25C7F"/>
    <w:rsid w:val="00B31410"/>
    <w:rsid w:val="00B31D45"/>
    <w:rsid w:val="00B323C0"/>
    <w:rsid w:val="00B32777"/>
    <w:rsid w:val="00B36D49"/>
    <w:rsid w:val="00B50100"/>
    <w:rsid w:val="00B50883"/>
    <w:rsid w:val="00B5220D"/>
    <w:rsid w:val="00B53ECA"/>
    <w:rsid w:val="00B55AA9"/>
    <w:rsid w:val="00B61F1C"/>
    <w:rsid w:val="00B66476"/>
    <w:rsid w:val="00B8088D"/>
    <w:rsid w:val="00B80D4F"/>
    <w:rsid w:val="00B83853"/>
    <w:rsid w:val="00B85F45"/>
    <w:rsid w:val="00B86976"/>
    <w:rsid w:val="00BA0566"/>
    <w:rsid w:val="00BA0C28"/>
    <w:rsid w:val="00BA2635"/>
    <w:rsid w:val="00BA3266"/>
    <w:rsid w:val="00BA4707"/>
    <w:rsid w:val="00BA6A86"/>
    <w:rsid w:val="00BB0B62"/>
    <w:rsid w:val="00BB799E"/>
    <w:rsid w:val="00BC05C5"/>
    <w:rsid w:val="00BC1B33"/>
    <w:rsid w:val="00BC1D1D"/>
    <w:rsid w:val="00BC67B7"/>
    <w:rsid w:val="00BC749D"/>
    <w:rsid w:val="00BD2A79"/>
    <w:rsid w:val="00BD3D20"/>
    <w:rsid w:val="00BE3A07"/>
    <w:rsid w:val="00BE3BCB"/>
    <w:rsid w:val="00BE5650"/>
    <w:rsid w:val="00BE70EB"/>
    <w:rsid w:val="00BF2104"/>
    <w:rsid w:val="00C0031C"/>
    <w:rsid w:val="00C00BC0"/>
    <w:rsid w:val="00C01586"/>
    <w:rsid w:val="00C026E1"/>
    <w:rsid w:val="00C02B27"/>
    <w:rsid w:val="00C05F1E"/>
    <w:rsid w:val="00C12030"/>
    <w:rsid w:val="00C13317"/>
    <w:rsid w:val="00C13C48"/>
    <w:rsid w:val="00C2055E"/>
    <w:rsid w:val="00C20A9E"/>
    <w:rsid w:val="00C20DC8"/>
    <w:rsid w:val="00C25256"/>
    <w:rsid w:val="00C252D8"/>
    <w:rsid w:val="00C26165"/>
    <w:rsid w:val="00C26198"/>
    <w:rsid w:val="00C26D56"/>
    <w:rsid w:val="00C3736D"/>
    <w:rsid w:val="00C378C4"/>
    <w:rsid w:val="00C37C41"/>
    <w:rsid w:val="00C41BB6"/>
    <w:rsid w:val="00C4636A"/>
    <w:rsid w:val="00C51967"/>
    <w:rsid w:val="00C5250D"/>
    <w:rsid w:val="00C618AC"/>
    <w:rsid w:val="00C63248"/>
    <w:rsid w:val="00C66691"/>
    <w:rsid w:val="00C713E1"/>
    <w:rsid w:val="00C763FF"/>
    <w:rsid w:val="00C77E44"/>
    <w:rsid w:val="00C80980"/>
    <w:rsid w:val="00C82253"/>
    <w:rsid w:val="00C84AA1"/>
    <w:rsid w:val="00C87CCD"/>
    <w:rsid w:val="00C90BCC"/>
    <w:rsid w:val="00C92976"/>
    <w:rsid w:val="00C93306"/>
    <w:rsid w:val="00C945FF"/>
    <w:rsid w:val="00C96585"/>
    <w:rsid w:val="00C97E70"/>
    <w:rsid w:val="00CA021F"/>
    <w:rsid w:val="00CA5F7D"/>
    <w:rsid w:val="00CA6592"/>
    <w:rsid w:val="00CB6617"/>
    <w:rsid w:val="00CB6C11"/>
    <w:rsid w:val="00CC0FD0"/>
    <w:rsid w:val="00CC5872"/>
    <w:rsid w:val="00CD099F"/>
    <w:rsid w:val="00CD68EA"/>
    <w:rsid w:val="00CD7FE4"/>
    <w:rsid w:val="00CE11C3"/>
    <w:rsid w:val="00CF2068"/>
    <w:rsid w:val="00CF5AA0"/>
    <w:rsid w:val="00D001FE"/>
    <w:rsid w:val="00D0448D"/>
    <w:rsid w:val="00D0539A"/>
    <w:rsid w:val="00D1050D"/>
    <w:rsid w:val="00D12F41"/>
    <w:rsid w:val="00D168E3"/>
    <w:rsid w:val="00D20F33"/>
    <w:rsid w:val="00D243C3"/>
    <w:rsid w:val="00D271DF"/>
    <w:rsid w:val="00D32EC4"/>
    <w:rsid w:val="00D33E56"/>
    <w:rsid w:val="00D42EDB"/>
    <w:rsid w:val="00D47164"/>
    <w:rsid w:val="00D50351"/>
    <w:rsid w:val="00D51691"/>
    <w:rsid w:val="00D53451"/>
    <w:rsid w:val="00D56F5F"/>
    <w:rsid w:val="00D572CA"/>
    <w:rsid w:val="00D57563"/>
    <w:rsid w:val="00D70857"/>
    <w:rsid w:val="00D73862"/>
    <w:rsid w:val="00D81804"/>
    <w:rsid w:val="00D84B86"/>
    <w:rsid w:val="00DA5EC8"/>
    <w:rsid w:val="00DA6682"/>
    <w:rsid w:val="00DA67EE"/>
    <w:rsid w:val="00DB43D4"/>
    <w:rsid w:val="00DC2BF4"/>
    <w:rsid w:val="00DC4E53"/>
    <w:rsid w:val="00DC6718"/>
    <w:rsid w:val="00DE133D"/>
    <w:rsid w:val="00DE69FB"/>
    <w:rsid w:val="00DF790D"/>
    <w:rsid w:val="00E00A7A"/>
    <w:rsid w:val="00E06D26"/>
    <w:rsid w:val="00E14015"/>
    <w:rsid w:val="00E165EE"/>
    <w:rsid w:val="00E20BCA"/>
    <w:rsid w:val="00E22D85"/>
    <w:rsid w:val="00E26AA7"/>
    <w:rsid w:val="00E271AA"/>
    <w:rsid w:val="00E273A2"/>
    <w:rsid w:val="00E4095D"/>
    <w:rsid w:val="00E46316"/>
    <w:rsid w:val="00E47443"/>
    <w:rsid w:val="00E504AC"/>
    <w:rsid w:val="00E52310"/>
    <w:rsid w:val="00E531E8"/>
    <w:rsid w:val="00E60E4C"/>
    <w:rsid w:val="00E6556C"/>
    <w:rsid w:val="00E669F6"/>
    <w:rsid w:val="00E6700B"/>
    <w:rsid w:val="00E67671"/>
    <w:rsid w:val="00E71010"/>
    <w:rsid w:val="00E726D8"/>
    <w:rsid w:val="00E72806"/>
    <w:rsid w:val="00E7677F"/>
    <w:rsid w:val="00E84839"/>
    <w:rsid w:val="00E927AB"/>
    <w:rsid w:val="00E94EC6"/>
    <w:rsid w:val="00E95CAE"/>
    <w:rsid w:val="00E97F8C"/>
    <w:rsid w:val="00EA15BC"/>
    <w:rsid w:val="00EA3C61"/>
    <w:rsid w:val="00EB2F6E"/>
    <w:rsid w:val="00EC0FD9"/>
    <w:rsid w:val="00EC1886"/>
    <w:rsid w:val="00ED1F02"/>
    <w:rsid w:val="00ED35A8"/>
    <w:rsid w:val="00ED743B"/>
    <w:rsid w:val="00ED7530"/>
    <w:rsid w:val="00ED754B"/>
    <w:rsid w:val="00EE03D9"/>
    <w:rsid w:val="00EE05B3"/>
    <w:rsid w:val="00EE1AF5"/>
    <w:rsid w:val="00EE1D5D"/>
    <w:rsid w:val="00EF6BC8"/>
    <w:rsid w:val="00EF6E7A"/>
    <w:rsid w:val="00EF7C03"/>
    <w:rsid w:val="00F00A4C"/>
    <w:rsid w:val="00F048B8"/>
    <w:rsid w:val="00F05876"/>
    <w:rsid w:val="00F1114A"/>
    <w:rsid w:val="00F13363"/>
    <w:rsid w:val="00F1400D"/>
    <w:rsid w:val="00F221D4"/>
    <w:rsid w:val="00F23437"/>
    <w:rsid w:val="00F255D3"/>
    <w:rsid w:val="00F26570"/>
    <w:rsid w:val="00F2744C"/>
    <w:rsid w:val="00F35EA2"/>
    <w:rsid w:val="00F405C7"/>
    <w:rsid w:val="00F40852"/>
    <w:rsid w:val="00F4145C"/>
    <w:rsid w:val="00F4451E"/>
    <w:rsid w:val="00F47BB0"/>
    <w:rsid w:val="00F51055"/>
    <w:rsid w:val="00F51261"/>
    <w:rsid w:val="00F554E8"/>
    <w:rsid w:val="00F55A60"/>
    <w:rsid w:val="00F566F5"/>
    <w:rsid w:val="00F66014"/>
    <w:rsid w:val="00F67169"/>
    <w:rsid w:val="00F67B76"/>
    <w:rsid w:val="00F72569"/>
    <w:rsid w:val="00F73983"/>
    <w:rsid w:val="00F73A78"/>
    <w:rsid w:val="00F77D2B"/>
    <w:rsid w:val="00F8002F"/>
    <w:rsid w:val="00F840E8"/>
    <w:rsid w:val="00F85366"/>
    <w:rsid w:val="00F96E58"/>
    <w:rsid w:val="00FA037E"/>
    <w:rsid w:val="00FA1278"/>
    <w:rsid w:val="00FA18A7"/>
    <w:rsid w:val="00FA1BBF"/>
    <w:rsid w:val="00FA333D"/>
    <w:rsid w:val="00FA7122"/>
    <w:rsid w:val="00FB67FC"/>
    <w:rsid w:val="00FC6250"/>
    <w:rsid w:val="00FC6B51"/>
    <w:rsid w:val="00FD133C"/>
    <w:rsid w:val="00FE33DC"/>
    <w:rsid w:val="00FE477B"/>
    <w:rsid w:val="00FE65AF"/>
    <w:rsid w:val="00FE7E1A"/>
    <w:rsid w:val="00FF0A36"/>
    <w:rsid w:val="00FF665B"/>
    <w:rsid w:val="00FF7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1152D"/>
  <w15:docId w15:val="{FF001F8C-660C-8648-B377-59682EC1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BC67B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376D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0E2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E23"/>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BC67B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BC67B7"/>
    <w:rPr>
      <w:rFonts w:eastAsiaTheme="minorEastAsia"/>
      <w:color w:val="5A5A5A" w:themeColor="text1" w:themeTint="A5"/>
      <w:spacing w:val="15"/>
      <w:sz w:val="22"/>
      <w:szCs w:val="22"/>
      <w:lang w:val="en-AU"/>
    </w:rPr>
  </w:style>
  <w:style w:type="character" w:customStyle="1" w:styleId="Heading1Char">
    <w:name w:val="Heading 1 Char"/>
    <w:basedOn w:val="DefaultParagraphFont"/>
    <w:link w:val="Heading1"/>
    <w:uiPriority w:val="9"/>
    <w:rsid w:val="00BC67B7"/>
    <w:rPr>
      <w:rFonts w:asciiTheme="majorHAnsi" w:eastAsiaTheme="majorEastAsia" w:hAnsiTheme="majorHAnsi" w:cstheme="majorBidi"/>
      <w:color w:val="2F5496" w:themeColor="accent1" w:themeShade="BF"/>
      <w:sz w:val="32"/>
      <w:szCs w:val="32"/>
      <w:lang w:val="en-AU"/>
    </w:rPr>
  </w:style>
  <w:style w:type="character" w:styleId="Hyperlink">
    <w:name w:val="Hyperlink"/>
    <w:basedOn w:val="DefaultParagraphFont"/>
    <w:uiPriority w:val="99"/>
    <w:unhideWhenUsed/>
    <w:rsid w:val="002F5E82"/>
    <w:rPr>
      <w:color w:val="0563C1" w:themeColor="hyperlink"/>
      <w:u w:val="single"/>
    </w:rPr>
  </w:style>
  <w:style w:type="character" w:styleId="UnresolvedMention">
    <w:name w:val="Unresolved Mention"/>
    <w:basedOn w:val="DefaultParagraphFont"/>
    <w:uiPriority w:val="99"/>
    <w:rsid w:val="002F5E82"/>
    <w:rPr>
      <w:color w:val="605E5C"/>
      <w:shd w:val="clear" w:color="auto" w:fill="E1DFDD"/>
    </w:rPr>
  </w:style>
  <w:style w:type="character" w:styleId="CommentReference">
    <w:name w:val="annotation reference"/>
    <w:basedOn w:val="DefaultParagraphFont"/>
    <w:uiPriority w:val="99"/>
    <w:semiHidden/>
    <w:unhideWhenUsed/>
    <w:rsid w:val="001D7323"/>
    <w:rPr>
      <w:sz w:val="16"/>
      <w:szCs w:val="16"/>
    </w:rPr>
  </w:style>
  <w:style w:type="paragraph" w:styleId="CommentText">
    <w:name w:val="annotation text"/>
    <w:basedOn w:val="Normal"/>
    <w:link w:val="CommentTextChar"/>
    <w:uiPriority w:val="99"/>
    <w:semiHidden/>
    <w:unhideWhenUsed/>
    <w:rsid w:val="001D7323"/>
    <w:rPr>
      <w:sz w:val="20"/>
      <w:szCs w:val="20"/>
    </w:rPr>
  </w:style>
  <w:style w:type="character" w:customStyle="1" w:styleId="CommentTextChar">
    <w:name w:val="Comment Text Char"/>
    <w:basedOn w:val="DefaultParagraphFont"/>
    <w:link w:val="CommentText"/>
    <w:uiPriority w:val="99"/>
    <w:semiHidden/>
    <w:rsid w:val="001D7323"/>
    <w:rPr>
      <w:sz w:val="20"/>
      <w:szCs w:val="20"/>
      <w:lang w:val="en-AU"/>
    </w:rPr>
  </w:style>
  <w:style w:type="paragraph" w:styleId="CommentSubject">
    <w:name w:val="annotation subject"/>
    <w:basedOn w:val="CommentText"/>
    <w:next w:val="CommentText"/>
    <w:link w:val="CommentSubjectChar"/>
    <w:uiPriority w:val="99"/>
    <w:semiHidden/>
    <w:unhideWhenUsed/>
    <w:rsid w:val="001D7323"/>
    <w:rPr>
      <w:b/>
      <w:bCs/>
    </w:rPr>
  </w:style>
  <w:style w:type="character" w:customStyle="1" w:styleId="CommentSubjectChar">
    <w:name w:val="Comment Subject Char"/>
    <w:basedOn w:val="CommentTextChar"/>
    <w:link w:val="CommentSubject"/>
    <w:uiPriority w:val="99"/>
    <w:semiHidden/>
    <w:rsid w:val="001D7323"/>
    <w:rPr>
      <w:b/>
      <w:bCs/>
      <w:sz w:val="20"/>
      <w:szCs w:val="20"/>
      <w:lang w:val="en-AU"/>
    </w:rPr>
  </w:style>
  <w:style w:type="paragraph" w:styleId="FootnoteText">
    <w:name w:val="footnote text"/>
    <w:basedOn w:val="Normal"/>
    <w:link w:val="FootnoteTextChar"/>
    <w:uiPriority w:val="99"/>
    <w:semiHidden/>
    <w:unhideWhenUsed/>
    <w:rsid w:val="00634725"/>
    <w:rPr>
      <w:sz w:val="20"/>
      <w:szCs w:val="20"/>
    </w:rPr>
  </w:style>
  <w:style w:type="character" w:customStyle="1" w:styleId="FootnoteTextChar">
    <w:name w:val="Footnote Text Char"/>
    <w:basedOn w:val="DefaultParagraphFont"/>
    <w:link w:val="FootnoteText"/>
    <w:uiPriority w:val="99"/>
    <w:semiHidden/>
    <w:rsid w:val="00634725"/>
    <w:rPr>
      <w:sz w:val="20"/>
      <w:szCs w:val="20"/>
      <w:lang w:val="en-AU"/>
    </w:rPr>
  </w:style>
  <w:style w:type="character" w:styleId="FootnoteReference">
    <w:name w:val="footnote reference"/>
    <w:basedOn w:val="DefaultParagraphFont"/>
    <w:uiPriority w:val="99"/>
    <w:semiHidden/>
    <w:unhideWhenUsed/>
    <w:rsid w:val="00634725"/>
    <w:rPr>
      <w:vertAlign w:val="superscript"/>
    </w:rPr>
  </w:style>
  <w:style w:type="paragraph" w:styleId="ListParagraph">
    <w:name w:val="List Paragraph"/>
    <w:basedOn w:val="Normal"/>
    <w:uiPriority w:val="34"/>
    <w:qFormat/>
    <w:rsid w:val="00721BD8"/>
    <w:pPr>
      <w:ind w:left="720"/>
      <w:contextualSpacing/>
    </w:pPr>
  </w:style>
  <w:style w:type="character" w:styleId="FollowedHyperlink">
    <w:name w:val="FollowedHyperlink"/>
    <w:basedOn w:val="DefaultParagraphFont"/>
    <w:uiPriority w:val="99"/>
    <w:semiHidden/>
    <w:unhideWhenUsed/>
    <w:rsid w:val="00C0031C"/>
    <w:rPr>
      <w:color w:val="954F72" w:themeColor="followedHyperlink"/>
      <w:u w:val="single"/>
    </w:rPr>
  </w:style>
  <w:style w:type="character" w:customStyle="1" w:styleId="Heading2Char">
    <w:name w:val="Heading 2 Char"/>
    <w:basedOn w:val="DefaultParagraphFont"/>
    <w:link w:val="Heading2"/>
    <w:uiPriority w:val="9"/>
    <w:semiHidden/>
    <w:rsid w:val="005376DB"/>
    <w:rPr>
      <w:rFonts w:asciiTheme="majorHAnsi" w:eastAsiaTheme="majorEastAsia" w:hAnsiTheme="majorHAnsi" w:cstheme="majorBidi"/>
      <w:color w:val="2F5496" w:themeColor="accent1" w:themeShade="BF"/>
      <w:sz w:val="26"/>
      <w:szCs w:val="26"/>
      <w:lang w:val="en-AU"/>
    </w:rPr>
  </w:style>
  <w:style w:type="paragraph" w:styleId="NormalWeb">
    <w:name w:val="Normal (Web)"/>
    <w:basedOn w:val="Normal"/>
    <w:uiPriority w:val="99"/>
    <w:semiHidden/>
    <w:unhideWhenUsed/>
    <w:rsid w:val="00ED754B"/>
    <w:pPr>
      <w:spacing w:before="100" w:beforeAutospacing="1" w:after="100" w:afterAutospacing="1"/>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17533D"/>
    <w:pPr>
      <w:tabs>
        <w:tab w:val="center" w:pos="4513"/>
        <w:tab w:val="right" w:pos="9026"/>
      </w:tabs>
    </w:pPr>
  </w:style>
  <w:style w:type="character" w:customStyle="1" w:styleId="FooterChar">
    <w:name w:val="Footer Char"/>
    <w:basedOn w:val="DefaultParagraphFont"/>
    <w:link w:val="Footer"/>
    <w:uiPriority w:val="99"/>
    <w:rsid w:val="0017533D"/>
    <w:rPr>
      <w:lang w:val="en-AU"/>
    </w:rPr>
  </w:style>
  <w:style w:type="character" w:styleId="PageNumber">
    <w:name w:val="page number"/>
    <w:basedOn w:val="DefaultParagraphFont"/>
    <w:uiPriority w:val="99"/>
    <w:semiHidden/>
    <w:unhideWhenUsed/>
    <w:rsid w:val="0017533D"/>
  </w:style>
  <w:style w:type="paragraph" w:styleId="Header">
    <w:name w:val="header"/>
    <w:basedOn w:val="Normal"/>
    <w:link w:val="HeaderChar"/>
    <w:uiPriority w:val="99"/>
    <w:unhideWhenUsed/>
    <w:rsid w:val="0017533D"/>
    <w:pPr>
      <w:tabs>
        <w:tab w:val="center" w:pos="4513"/>
        <w:tab w:val="right" w:pos="9026"/>
      </w:tabs>
    </w:pPr>
  </w:style>
  <w:style w:type="character" w:customStyle="1" w:styleId="HeaderChar">
    <w:name w:val="Header Char"/>
    <w:basedOn w:val="DefaultParagraphFont"/>
    <w:link w:val="Header"/>
    <w:uiPriority w:val="99"/>
    <w:rsid w:val="0017533D"/>
    <w:rPr>
      <w:lang w:val="en-AU"/>
    </w:rPr>
  </w:style>
  <w:style w:type="paragraph" w:styleId="EndnoteText">
    <w:name w:val="endnote text"/>
    <w:basedOn w:val="Normal"/>
    <w:link w:val="EndnoteTextChar"/>
    <w:uiPriority w:val="99"/>
    <w:semiHidden/>
    <w:unhideWhenUsed/>
    <w:rsid w:val="0021668F"/>
    <w:rPr>
      <w:sz w:val="20"/>
      <w:szCs w:val="20"/>
    </w:rPr>
  </w:style>
  <w:style w:type="character" w:customStyle="1" w:styleId="EndnoteTextChar">
    <w:name w:val="Endnote Text Char"/>
    <w:basedOn w:val="DefaultParagraphFont"/>
    <w:link w:val="EndnoteText"/>
    <w:uiPriority w:val="99"/>
    <w:semiHidden/>
    <w:rsid w:val="0021668F"/>
    <w:rPr>
      <w:sz w:val="20"/>
      <w:szCs w:val="20"/>
      <w:lang w:val="en-AU"/>
    </w:rPr>
  </w:style>
  <w:style w:type="character" w:styleId="EndnoteReference">
    <w:name w:val="endnote reference"/>
    <w:basedOn w:val="DefaultParagraphFont"/>
    <w:uiPriority w:val="99"/>
    <w:semiHidden/>
    <w:unhideWhenUsed/>
    <w:rsid w:val="002166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2553">
      <w:bodyDiv w:val="1"/>
      <w:marLeft w:val="0"/>
      <w:marRight w:val="0"/>
      <w:marTop w:val="0"/>
      <w:marBottom w:val="0"/>
      <w:divBdr>
        <w:top w:val="none" w:sz="0" w:space="0" w:color="auto"/>
        <w:left w:val="none" w:sz="0" w:space="0" w:color="auto"/>
        <w:bottom w:val="none" w:sz="0" w:space="0" w:color="auto"/>
        <w:right w:val="none" w:sz="0" w:space="0" w:color="auto"/>
      </w:divBdr>
    </w:div>
    <w:div w:id="120081144">
      <w:bodyDiv w:val="1"/>
      <w:marLeft w:val="0"/>
      <w:marRight w:val="0"/>
      <w:marTop w:val="0"/>
      <w:marBottom w:val="0"/>
      <w:divBdr>
        <w:top w:val="none" w:sz="0" w:space="0" w:color="auto"/>
        <w:left w:val="none" w:sz="0" w:space="0" w:color="auto"/>
        <w:bottom w:val="none" w:sz="0" w:space="0" w:color="auto"/>
        <w:right w:val="none" w:sz="0" w:space="0" w:color="auto"/>
      </w:divBdr>
    </w:div>
    <w:div w:id="350496421">
      <w:bodyDiv w:val="1"/>
      <w:marLeft w:val="0"/>
      <w:marRight w:val="0"/>
      <w:marTop w:val="0"/>
      <w:marBottom w:val="0"/>
      <w:divBdr>
        <w:top w:val="none" w:sz="0" w:space="0" w:color="auto"/>
        <w:left w:val="none" w:sz="0" w:space="0" w:color="auto"/>
        <w:bottom w:val="none" w:sz="0" w:space="0" w:color="auto"/>
        <w:right w:val="none" w:sz="0" w:space="0" w:color="auto"/>
      </w:divBdr>
    </w:div>
    <w:div w:id="510875628">
      <w:bodyDiv w:val="1"/>
      <w:marLeft w:val="0"/>
      <w:marRight w:val="0"/>
      <w:marTop w:val="0"/>
      <w:marBottom w:val="0"/>
      <w:divBdr>
        <w:top w:val="none" w:sz="0" w:space="0" w:color="auto"/>
        <w:left w:val="none" w:sz="0" w:space="0" w:color="auto"/>
        <w:bottom w:val="none" w:sz="0" w:space="0" w:color="auto"/>
        <w:right w:val="none" w:sz="0" w:space="0" w:color="auto"/>
      </w:divBdr>
    </w:div>
    <w:div w:id="542522855">
      <w:bodyDiv w:val="1"/>
      <w:marLeft w:val="0"/>
      <w:marRight w:val="0"/>
      <w:marTop w:val="0"/>
      <w:marBottom w:val="0"/>
      <w:divBdr>
        <w:top w:val="none" w:sz="0" w:space="0" w:color="auto"/>
        <w:left w:val="none" w:sz="0" w:space="0" w:color="auto"/>
        <w:bottom w:val="none" w:sz="0" w:space="0" w:color="auto"/>
        <w:right w:val="none" w:sz="0" w:space="0" w:color="auto"/>
      </w:divBdr>
    </w:div>
    <w:div w:id="919632117">
      <w:bodyDiv w:val="1"/>
      <w:marLeft w:val="0"/>
      <w:marRight w:val="0"/>
      <w:marTop w:val="0"/>
      <w:marBottom w:val="0"/>
      <w:divBdr>
        <w:top w:val="none" w:sz="0" w:space="0" w:color="auto"/>
        <w:left w:val="none" w:sz="0" w:space="0" w:color="auto"/>
        <w:bottom w:val="none" w:sz="0" w:space="0" w:color="auto"/>
        <w:right w:val="none" w:sz="0" w:space="0" w:color="auto"/>
      </w:divBdr>
    </w:div>
    <w:div w:id="1233808894">
      <w:bodyDiv w:val="1"/>
      <w:marLeft w:val="0"/>
      <w:marRight w:val="0"/>
      <w:marTop w:val="0"/>
      <w:marBottom w:val="0"/>
      <w:divBdr>
        <w:top w:val="none" w:sz="0" w:space="0" w:color="auto"/>
        <w:left w:val="none" w:sz="0" w:space="0" w:color="auto"/>
        <w:bottom w:val="none" w:sz="0" w:space="0" w:color="auto"/>
        <w:right w:val="none" w:sz="0" w:space="0" w:color="auto"/>
      </w:divBdr>
    </w:div>
    <w:div w:id="1698195673">
      <w:bodyDiv w:val="1"/>
      <w:marLeft w:val="0"/>
      <w:marRight w:val="0"/>
      <w:marTop w:val="0"/>
      <w:marBottom w:val="0"/>
      <w:divBdr>
        <w:top w:val="none" w:sz="0" w:space="0" w:color="auto"/>
        <w:left w:val="none" w:sz="0" w:space="0" w:color="auto"/>
        <w:bottom w:val="none" w:sz="0" w:space="0" w:color="auto"/>
        <w:right w:val="none" w:sz="0" w:space="0" w:color="auto"/>
      </w:divBdr>
    </w:div>
    <w:div w:id="1760638121">
      <w:bodyDiv w:val="1"/>
      <w:marLeft w:val="0"/>
      <w:marRight w:val="0"/>
      <w:marTop w:val="0"/>
      <w:marBottom w:val="0"/>
      <w:divBdr>
        <w:top w:val="none" w:sz="0" w:space="0" w:color="auto"/>
        <w:left w:val="none" w:sz="0" w:space="0" w:color="auto"/>
        <w:bottom w:val="none" w:sz="0" w:space="0" w:color="auto"/>
        <w:right w:val="none" w:sz="0" w:space="0" w:color="auto"/>
      </w:divBdr>
    </w:div>
    <w:div w:id="1914313439">
      <w:bodyDiv w:val="1"/>
      <w:marLeft w:val="0"/>
      <w:marRight w:val="0"/>
      <w:marTop w:val="0"/>
      <w:marBottom w:val="0"/>
      <w:divBdr>
        <w:top w:val="none" w:sz="0" w:space="0" w:color="auto"/>
        <w:left w:val="none" w:sz="0" w:space="0" w:color="auto"/>
        <w:bottom w:val="none" w:sz="0" w:space="0" w:color="auto"/>
        <w:right w:val="none" w:sz="0" w:space="0" w:color="auto"/>
      </w:divBdr>
      <w:divsChild>
        <w:div w:id="1259752383">
          <w:marLeft w:val="0"/>
          <w:marRight w:val="0"/>
          <w:marTop w:val="0"/>
          <w:marBottom w:val="0"/>
          <w:divBdr>
            <w:top w:val="none" w:sz="0" w:space="0" w:color="auto"/>
            <w:left w:val="none" w:sz="0" w:space="0" w:color="auto"/>
            <w:bottom w:val="none" w:sz="0" w:space="0" w:color="auto"/>
            <w:right w:val="none" w:sz="0" w:space="0" w:color="auto"/>
          </w:divBdr>
          <w:divsChild>
            <w:div w:id="20195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03415">
      <w:bodyDiv w:val="1"/>
      <w:marLeft w:val="0"/>
      <w:marRight w:val="0"/>
      <w:marTop w:val="0"/>
      <w:marBottom w:val="0"/>
      <w:divBdr>
        <w:top w:val="none" w:sz="0" w:space="0" w:color="auto"/>
        <w:left w:val="none" w:sz="0" w:space="0" w:color="auto"/>
        <w:bottom w:val="none" w:sz="0" w:space="0" w:color="auto"/>
        <w:right w:val="none" w:sz="0" w:space="0" w:color="auto"/>
      </w:divBdr>
    </w:div>
    <w:div w:id="2064719784">
      <w:bodyDiv w:val="1"/>
      <w:marLeft w:val="0"/>
      <w:marRight w:val="0"/>
      <w:marTop w:val="0"/>
      <w:marBottom w:val="0"/>
      <w:divBdr>
        <w:top w:val="none" w:sz="0" w:space="0" w:color="auto"/>
        <w:left w:val="none" w:sz="0" w:space="0" w:color="auto"/>
        <w:bottom w:val="none" w:sz="0" w:space="0" w:color="auto"/>
        <w:right w:val="none" w:sz="0" w:space="0" w:color="auto"/>
      </w:divBdr>
    </w:div>
    <w:div w:id="2082018119">
      <w:bodyDiv w:val="1"/>
      <w:marLeft w:val="0"/>
      <w:marRight w:val="0"/>
      <w:marTop w:val="0"/>
      <w:marBottom w:val="0"/>
      <w:divBdr>
        <w:top w:val="none" w:sz="0" w:space="0" w:color="auto"/>
        <w:left w:val="none" w:sz="0" w:space="0" w:color="auto"/>
        <w:bottom w:val="none" w:sz="0" w:space="0" w:color="auto"/>
        <w:right w:val="none" w:sz="0" w:space="0" w:color="auto"/>
      </w:divBdr>
    </w:div>
    <w:div w:id="2102141392">
      <w:bodyDiv w:val="1"/>
      <w:marLeft w:val="0"/>
      <w:marRight w:val="0"/>
      <w:marTop w:val="0"/>
      <w:marBottom w:val="0"/>
      <w:divBdr>
        <w:top w:val="none" w:sz="0" w:space="0" w:color="auto"/>
        <w:left w:val="none" w:sz="0" w:space="0" w:color="auto"/>
        <w:bottom w:val="none" w:sz="0" w:space="0" w:color="auto"/>
        <w:right w:val="none" w:sz="0" w:space="0" w:color="auto"/>
      </w:divBdr>
      <w:divsChild>
        <w:div w:id="1969436419">
          <w:marLeft w:val="0"/>
          <w:marRight w:val="0"/>
          <w:marTop w:val="0"/>
          <w:marBottom w:val="0"/>
          <w:divBdr>
            <w:top w:val="none" w:sz="0" w:space="0" w:color="auto"/>
            <w:left w:val="none" w:sz="0" w:space="0" w:color="auto"/>
            <w:bottom w:val="none" w:sz="0" w:space="0" w:color="auto"/>
            <w:right w:val="none" w:sz="0" w:space="0" w:color="auto"/>
          </w:divBdr>
          <w:divsChild>
            <w:div w:id="16086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56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planning.vic.gov.au/guides-and-resources/building-policy/building-reform" TargetMode="External"/><Relationship Id="rId1" Type="http://schemas.openxmlformats.org/officeDocument/2006/relationships/hyperlink" Target="https://www.premier.vic.gov.au/new-building-watchdog-teeth-protect-victori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80D99-850A-0744-AA3C-2A081020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7</Pages>
  <Words>2714</Words>
  <Characters>14389</Characters>
  <Application>Microsoft Office Word</Application>
  <DocSecurity>0</DocSecurity>
  <Lines>248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Bell</dc:creator>
  <cp:keywords/>
  <dc:description/>
  <cp:lastModifiedBy>Matthew Bell</cp:lastModifiedBy>
  <cp:revision>4</cp:revision>
  <cp:lastPrinted>2024-10-30T22:14:00Z</cp:lastPrinted>
  <dcterms:created xsi:type="dcterms:W3CDTF">2024-10-24T22:14:00Z</dcterms:created>
  <dcterms:modified xsi:type="dcterms:W3CDTF">2024-10-30T23:07:00Z</dcterms:modified>
</cp:coreProperties>
</file>