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027A6" w:rsidRDefault="000B0392">
      <w:pPr>
        <w:rPr>
          <w:rFonts w:ascii="Calibri" w:eastAsia="Calibri" w:hAnsi="Calibri" w:cs="Calibri"/>
          <w:sz w:val="24"/>
          <w:szCs w:val="24"/>
        </w:rPr>
      </w:pPr>
      <w:r>
        <w:rPr>
          <w:rFonts w:ascii="Calibri" w:eastAsia="Calibri" w:hAnsi="Calibri" w:cs="Calibri"/>
          <w:sz w:val="24"/>
          <w:szCs w:val="24"/>
        </w:rPr>
        <w:t>Author Information</w:t>
      </w:r>
    </w:p>
    <w:p w14:paraId="00000002" w14:textId="77777777" w:rsidR="00C027A6" w:rsidRDefault="000B0392">
      <w:pPr>
        <w:rPr>
          <w:rFonts w:ascii="Calibri" w:eastAsia="Calibri" w:hAnsi="Calibri" w:cs="Calibri"/>
          <w:sz w:val="24"/>
          <w:szCs w:val="24"/>
        </w:rPr>
      </w:pPr>
      <w:r>
        <w:rPr>
          <w:rFonts w:ascii="Calibri" w:eastAsia="Calibri" w:hAnsi="Calibri" w:cs="Calibri"/>
          <w:sz w:val="24"/>
          <w:szCs w:val="24"/>
        </w:rPr>
        <w:t xml:space="preserve"> </w:t>
      </w:r>
    </w:p>
    <w:p w14:paraId="00000003" w14:textId="77777777" w:rsidR="00C027A6" w:rsidRDefault="000B0392">
      <w:pPr>
        <w:rPr>
          <w:rFonts w:ascii="Calibri" w:eastAsia="Calibri" w:hAnsi="Calibri" w:cs="Calibri"/>
          <w:sz w:val="24"/>
          <w:szCs w:val="24"/>
        </w:rPr>
      </w:pPr>
      <w:r>
        <w:rPr>
          <w:rFonts w:ascii="Calibri" w:eastAsia="Calibri" w:hAnsi="Calibri" w:cs="Calibri"/>
          <w:sz w:val="24"/>
          <w:szCs w:val="24"/>
        </w:rPr>
        <w:t xml:space="preserve"> </w:t>
      </w:r>
    </w:p>
    <w:p w14:paraId="00000004" w14:textId="77777777" w:rsidR="00C027A6" w:rsidRDefault="000B0392">
      <w:pPr>
        <w:rPr>
          <w:rFonts w:ascii="Calibri" w:eastAsia="Calibri" w:hAnsi="Calibri" w:cs="Calibri"/>
          <w:sz w:val="24"/>
          <w:szCs w:val="24"/>
        </w:rPr>
      </w:pPr>
      <w:r>
        <w:rPr>
          <w:rFonts w:ascii="Calibri" w:eastAsia="Calibri" w:hAnsi="Calibri" w:cs="Calibri"/>
          <w:sz w:val="24"/>
          <w:szCs w:val="24"/>
        </w:rPr>
        <w:t>Lisa McKay-Brown PhD</w:t>
      </w:r>
    </w:p>
    <w:p w14:paraId="00000005" w14:textId="77777777" w:rsidR="00C027A6" w:rsidRDefault="000B0392">
      <w:pPr>
        <w:rPr>
          <w:rFonts w:ascii="Calibri" w:eastAsia="Calibri" w:hAnsi="Calibri" w:cs="Calibri"/>
          <w:sz w:val="24"/>
          <w:szCs w:val="24"/>
        </w:rPr>
      </w:pPr>
      <w:r>
        <w:rPr>
          <w:rFonts w:ascii="Calibri" w:eastAsia="Calibri" w:hAnsi="Calibri" w:cs="Calibri"/>
          <w:sz w:val="24"/>
          <w:szCs w:val="24"/>
        </w:rPr>
        <w:t>Senior Lecturer</w:t>
      </w:r>
    </w:p>
    <w:p w14:paraId="00000006" w14:textId="77777777" w:rsidR="00C027A6" w:rsidRDefault="000B0392">
      <w:pPr>
        <w:rPr>
          <w:rFonts w:ascii="Calibri" w:eastAsia="Calibri" w:hAnsi="Calibri" w:cs="Calibri"/>
          <w:sz w:val="24"/>
          <w:szCs w:val="24"/>
        </w:rPr>
      </w:pPr>
      <w:r>
        <w:rPr>
          <w:rFonts w:ascii="Calibri" w:eastAsia="Calibri" w:hAnsi="Calibri" w:cs="Calibri"/>
          <w:sz w:val="24"/>
          <w:szCs w:val="24"/>
        </w:rPr>
        <w:t>Melbourne Graduate School of Education</w:t>
      </w:r>
    </w:p>
    <w:p w14:paraId="00000007" w14:textId="77777777" w:rsidR="00C027A6" w:rsidRDefault="000B0392">
      <w:pPr>
        <w:rPr>
          <w:rFonts w:ascii="Calibri" w:eastAsia="Calibri" w:hAnsi="Calibri" w:cs="Calibri"/>
          <w:sz w:val="24"/>
          <w:szCs w:val="24"/>
        </w:rPr>
      </w:pPr>
      <w:r>
        <w:rPr>
          <w:rFonts w:ascii="Calibri" w:eastAsia="Calibri" w:hAnsi="Calibri" w:cs="Calibri"/>
          <w:sz w:val="24"/>
          <w:szCs w:val="24"/>
        </w:rPr>
        <w:t>The University of Melbourne</w:t>
      </w:r>
    </w:p>
    <w:p w14:paraId="00000008" w14:textId="77777777" w:rsidR="00C027A6" w:rsidRDefault="000B0392">
      <w:pPr>
        <w:rPr>
          <w:rFonts w:ascii="Calibri" w:eastAsia="Calibri" w:hAnsi="Calibri" w:cs="Calibri"/>
          <w:sz w:val="24"/>
          <w:szCs w:val="24"/>
        </w:rPr>
      </w:pPr>
      <w:r>
        <w:rPr>
          <w:rFonts w:ascii="Calibri" w:eastAsia="Calibri" w:hAnsi="Calibri" w:cs="Calibri"/>
          <w:sz w:val="24"/>
          <w:szCs w:val="24"/>
        </w:rPr>
        <w:t xml:space="preserve"> </w:t>
      </w:r>
    </w:p>
    <w:p w14:paraId="00000009" w14:textId="77777777" w:rsidR="00C027A6" w:rsidRDefault="000B0392">
      <w:pPr>
        <w:rPr>
          <w:rFonts w:ascii="Calibri" w:eastAsia="Calibri" w:hAnsi="Calibri" w:cs="Calibri"/>
          <w:sz w:val="24"/>
          <w:szCs w:val="24"/>
        </w:rPr>
      </w:pPr>
      <w:r>
        <w:rPr>
          <w:rFonts w:ascii="Calibri" w:eastAsia="Calibri" w:hAnsi="Calibri" w:cs="Calibri"/>
          <w:sz w:val="24"/>
          <w:szCs w:val="24"/>
        </w:rPr>
        <w:t>Webpage:</w:t>
      </w:r>
    </w:p>
    <w:p w14:paraId="0000000A" w14:textId="77777777" w:rsidR="00C027A6" w:rsidRDefault="000B0392">
      <w:pPr>
        <w:rPr>
          <w:rFonts w:ascii="Calibri" w:eastAsia="Calibri" w:hAnsi="Calibri" w:cs="Calibri"/>
          <w:color w:val="954F72"/>
          <w:sz w:val="24"/>
          <w:szCs w:val="24"/>
          <w:u w:val="single"/>
        </w:rPr>
      </w:pPr>
      <w:hyperlink r:id="rId4">
        <w:r>
          <w:rPr>
            <w:rFonts w:ascii="Calibri" w:eastAsia="Calibri" w:hAnsi="Calibri" w:cs="Calibri"/>
            <w:color w:val="954F72"/>
            <w:sz w:val="24"/>
            <w:szCs w:val="24"/>
            <w:u w:val="single"/>
          </w:rPr>
          <w:t>https://findanexpert.unimelb.edu.au/profile/97930-lisa-mckay-brown</w:t>
        </w:r>
      </w:hyperlink>
    </w:p>
    <w:p w14:paraId="0000000B" w14:textId="77777777" w:rsidR="00C027A6" w:rsidRDefault="000B0392">
      <w:pPr>
        <w:rPr>
          <w:rFonts w:ascii="Calibri" w:eastAsia="Calibri" w:hAnsi="Calibri" w:cs="Calibri"/>
          <w:sz w:val="24"/>
          <w:szCs w:val="24"/>
        </w:rPr>
      </w:pPr>
      <w:r>
        <w:rPr>
          <w:rFonts w:ascii="Calibri" w:eastAsia="Calibri" w:hAnsi="Calibri" w:cs="Calibri"/>
          <w:sz w:val="24"/>
          <w:szCs w:val="24"/>
        </w:rPr>
        <w:t xml:space="preserve"> </w:t>
      </w:r>
    </w:p>
    <w:p w14:paraId="0000000C" w14:textId="77777777" w:rsidR="00C027A6" w:rsidRDefault="000B0392">
      <w:pPr>
        <w:rPr>
          <w:rFonts w:ascii="Calibri" w:eastAsia="Calibri" w:hAnsi="Calibri" w:cs="Calibri"/>
          <w:sz w:val="24"/>
          <w:szCs w:val="24"/>
        </w:rPr>
      </w:pPr>
      <w:r>
        <w:rPr>
          <w:rFonts w:ascii="Calibri" w:eastAsia="Calibri" w:hAnsi="Calibri" w:cs="Calibri"/>
          <w:sz w:val="24"/>
          <w:szCs w:val="24"/>
        </w:rPr>
        <w:t>Contact information:</w:t>
      </w:r>
    </w:p>
    <w:p w14:paraId="0000000D" w14:textId="77777777" w:rsidR="00C027A6" w:rsidRDefault="000B0392">
      <w:pPr>
        <w:rPr>
          <w:rFonts w:ascii="Calibri" w:eastAsia="Calibri" w:hAnsi="Calibri" w:cs="Calibri"/>
          <w:sz w:val="24"/>
          <w:szCs w:val="24"/>
        </w:rPr>
      </w:pPr>
      <w:r>
        <w:rPr>
          <w:rFonts w:ascii="Calibri" w:eastAsia="Calibri" w:hAnsi="Calibri" w:cs="Calibri"/>
          <w:sz w:val="24"/>
          <w:szCs w:val="24"/>
        </w:rPr>
        <w:t>Level 6, 100 Leicester Street</w:t>
      </w:r>
    </w:p>
    <w:p w14:paraId="0000000E" w14:textId="77777777" w:rsidR="00C027A6" w:rsidRDefault="000B0392">
      <w:pPr>
        <w:rPr>
          <w:rFonts w:ascii="Calibri" w:eastAsia="Calibri" w:hAnsi="Calibri" w:cs="Calibri"/>
          <w:sz w:val="24"/>
          <w:szCs w:val="24"/>
        </w:rPr>
      </w:pPr>
      <w:r>
        <w:rPr>
          <w:rFonts w:ascii="Calibri" w:eastAsia="Calibri" w:hAnsi="Calibri" w:cs="Calibri"/>
          <w:sz w:val="24"/>
          <w:szCs w:val="24"/>
        </w:rPr>
        <w:t>The University of Melbourne</w:t>
      </w:r>
    </w:p>
    <w:p w14:paraId="0000000F" w14:textId="77777777" w:rsidR="00C027A6" w:rsidRDefault="000B0392">
      <w:pPr>
        <w:rPr>
          <w:rFonts w:ascii="Calibri" w:eastAsia="Calibri" w:hAnsi="Calibri" w:cs="Calibri"/>
          <w:color w:val="954F72"/>
          <w:sz w:val="24"/>
          <w:szCs w:val="24"/>
        </w:rPr>
      </w:pPr>
      <w:r>
        <w:rPr>
          <w:rFonts w:ascii="Calibri" w:eastAsia="Calibri" w:hAnsi="Calibri" w:cs="Calibri"/>
          <w:sz w:val="24"/>
          <w:szCs w:val="24"/>
        </w:rPr>
        <w:t xml:space="preserve">E: </w:t>
      </w:r>
      <w:r>
        <w:rPr>
          <w:rFonts w:ascii="Calibri" w:eastAsia="Calibri" w:hAnsi="Calibri" w:cs="Calibri"/>
          <w:color w:val="954F72"/>
          <w:sz w:val="24"/>
          <w:szCs w:val="24"/>
        </w:rPr>
        <w:t>lisamb@unimelb.edu.au</w:t>
      </w:r>
    </w:p>
    <w:p w14:paraId="00000010" w14:textId="77777777" w:rsidR="00C027A6" w:rsidRDefault="000B0392">
      <w:pPr>
        <w:rPr>
          <w:rFonts w:ascii="Calibri" w:eastAsia="Calibri" w:hAnsi="Calibri" w:cs="Calibri"/>
          <w:sz w:val="24"/>
          <w:szCs w:val="24"/>
        </w:rPr>
      </w:pPr>
      <w:r>
        <w:rPr>
          <w:rFonts w:ascii="Calibri" w:eastAsia="Calibri" w:hAnsi="Calibri" w:cs="Calibri"/>
          <w:sz w:val="24"/>
          <w:szCs w:val="24"/>
        </w:rPr>
        <w:t xml:space="preserve"> </w:t>
      </w:r>
    </w:p>
    <w:p w14:paraId="00000011" w14:textId="77777777" w:rsidR="00C027A6" w:rsidRDefault="000B039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2" w14:textId="77777777" w:rsidR="00C027A6" w:rsidRDefault="000B039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3" w14:textId="77777777" w:rsidR="00C027A6" w:rsidRDefault="000B0392">
      <w:pPr>
        <w:rPr>
          <w:rFonts w:ascii="Calibri" w:eastAsia="Calibri" w:hAnsi="Calibri" w:cs="Calibri"/>
          <w:sz w:val="24"/>
          <w:szCs w:val="24"/>
        </w:rPr>
      </w:pPr>
      <w:r>
        <w:rPr>
          <w:rFonts w:ascii="Calibri" w:eastAsia="Calibri" w:hAnsi="Calibri" w:cs="Calibri"/>
          <w:sz w:val="24"/>
          <w:szCs w:val="24"/>
        </w:rPr>
        <w:t xml:space="preserve">Anton </w:t>
      </w:r>
      <w:proofErr w:type="spellStart"/>
      <w:r>
        <w:rPr>
          <w:rFonts w:ascii="Calibri" w:eastAsia="Calibri" w:hAnsi="Calibri" w:cs="Calibri"/>
          <w:sz w:val="24"/>
          <w:szCs w:val="24"/>
        </w:rPr>
        <w:t>Birioukov</w:t>
      </w:r>
      <w:proofErr w:type="spellEnd"/>
      <w:r>
        <w:rPr>
          <w:rFonts w:ascii="Calibri" w:eastAsia="Calibri" w:hAnsi="Calibri" w:cs="Calibri"/>
          <w:sz w:val="24"/>
          <w:szCs w:val="24"/>
        </w:rPr>
        <w:t>-Brant PhD</w:t>
      </w:r>
    </w:p>
    <w:p w14:paraId="00000014" w14:textId="77777777" w:rsidR="00C027A6" w:rsidRDefault="000B0392">
      <w:pPr>
        <w:rPr>
          <w:rFonts w:ascii="Calibri" w:eastAsia="Calibri" w:hAnsi="Calibri" w:cs="Calibri"/>
          <w:sz w:val="24"/>
          <w:szCs w:val="24"/>
        </w:rPr>
      </w:pPr>
      <w:r>
        <w:rPr>
          <w:rFonts w:ascii="Calibri" w:eastAsia="Calibri" w:hAnsi="Calibri" w:cs="Calibri"/>
          <w:sz w:val="24"/>
          <w:szCs w:val="24"/>
        </w:rPr>
        <w:t xml:space="preserve"> Part-Time Professor</w:t>
      </w:r>
    </w:p>
    <w:p w14:paraId="00000015" w14:textId="77777777" w:rsidR="00C027A6" w:rsidRDefault="000B0392">
      <w:pPr>
        <w:rPr>
          <w:rFonts w:ascii="Calibri" w:eastAsia="Calibri" w:hAnsi="Calibri" w:cs="Calibri"/>
          <w:sz w:val="24"/>
          <w:szCs w:val="24"/>
        </w:rPr>
      </w:pPr>
      <w:r>
        <w:rPr>
          <w:rFonts w:ascii="Calibri" w:eastAsia="Calibri" w:hAnsi="Calibri" w:cs="Calibri"/>
          <w:sz w:val="24"/>
          <w:szCs w:val="24"/>
        </w:rPr>
        <w:t>Faculty of Education</w:t>
      </w:r>
    </w:p>
    <w:p w14:paraId="00000016" w14:textId="77777777" w:rsidR="00C027A6" w:rsidRDefault="000B0392">
      <w:pPr>
        <w:rPr>
          <w:rFonts w:ascii="Calibri" w:eastAsia="Calibri" w:hAnsi="Calibri" w:cs="Calibri"/>
          <w:sz w:val="24"/>
          <w:szCs w:val="24"/>
        </w:rPr>
      </w:pPr>
      <w:r>
        <w:rPr>
          <w:rFonts w:ascii="Calibri" w:eastAsia="Calibri" w:hAnsi="Calibri" w:cs="Calibri"/>
          <w:sz w:val="24"/>
          <w:szCs w:val="24"/>
        </w:rPr>
        <w:t>University of Ottawa</w:t>
      </w:r>
    </w:p>
    <w:p w14:paraId="00000017" w14:textId="77777777" w:rsidR="00C027A6" w:rsidRDefault="00C027A6">
      <w:pPr>
        <w:rPr>
          <w:rFonts w:ascii="Calibri" w:eastAsia="Calibri" w:hAnsi="Calibri" w:cs="Calibri"/>
          <w:sz w:val="24"/>
          <w:szCs w:val="24"/>
        </w:rPr>
      </w:pPr>
    </w:p>
    <w:p w14:paraId="00000018" w14:textId="77777777" w:rsidR="00C027A6" w:rsidRDefault="000B0392">
      <w:pPr>
        <w:rPr>
          <w:rFonts w:ascii="Calibri" w:eastAsia="Calibri" w:hAnsi="Calibri" w:cs="Calibri"/>
          <w:sz w:val="24"/>
          <w:szCs w:val="24"/>
        </w:rPr>
      </w:pPr>
      <w:r>
        <w:rPr>
          <w:rFonts w:ascii="Calibri" w:eastAsia="Calibri" w:hAnsi="Calibri" w:cs="Calibri"/>
          <w:sz w:val="24"/>
          <w:szCs w:val="24"/>
        </w:rPr>
        <w:t>Contact Information:</w:t>
      </w:r>
    </w:p>
    <w:p w14:paraId="00000019" w14:textId="77777777" w:rsidR="00C027A6" w:rsidRDefault="000B0392">
      <w:pPr>
        <w:rPr>
          <w:rFonts w:ascii="Calibri" w:eastAsia="Calibri" w:hAnsi="Calibri" w:cs="Calibri"/>
          <w:sz w:val="24"/>
          <w:szCs w:val="24"/>
        </w:rPr>
      </w:pPr>
      <w:r>
        <w:rPr>
          <w:rFonts w:ascii="Calibri" w:eastAsia="Calibri" w:hAnsi="Calibri" w:cs="Calibri"/>
          <w:sz w:val="24"/>
          <w:szCs w:val="24"/>
        </w:rPr>
        <w:t xml:space="preserve">E: </w:t>
      </w:r>
      <w:hyperlink r:id="rId5">
        <w:r>
          <w:rPr>
            <w:rFonts w:ascii="Calibri" w:eastAsia="Calibri" w:hAnsi="Calibri" w:cs="Calibri"/>
            <w:color w:val="1155CC"/>
            <w:sz w:val="24"/>
            <w:szCs w:val="24"/>
            <w:u w:val="single"/>
          </w:rPr>
          <w:t>abiri066@uottawa.ca</w:t>
        </w:r>
      </w:hyperlink>
      <w:r>
        <w:rPr>
          <w:rFonts w:ascii="Calibri" w:eastAsia="Calibri" w:hAnsi="Calibri" w:cs="Calibri"/>
          <w:sz w:val="24"/>
          <w:szCs w:val="24"/>
        </w:rPr>
        <w:t xml:space="preserve"> </w:t>
      </w:r>
    </w:p>
    <w:p w14:paraId="0000001A" w14:textId="77777777" w:rsidR="00C027A6" w:rsidRDefault="000B0392">
      <w:pPr>
        <w:spacing w:before="240" w:after="240"/>
        <w:rPr>
          <w:rFonts w:ascii="Calibri" w:eastAsia="Calibri" w:hAnsi="Calibri" w:cs="Calibri"/>
          <w:sz w:val="24"/>
          <w:szCs w:val="24"/>
        </w:rPr>
      </w:pPr>
      <w:r>
        <w:br w:type="page"/>
      </w:r>
    </w:p>
    <w:p w14:paraId="0000001B" w14:textId="77777777" w:rsidR="00C027A6" w:rsidRDefault="00C027A6">
      <w:pPr>
        <w:spacing w:before="240" w:after="240"/>
        <w:rPr>
          <w:rFonts w:ascii="Calibri" w:eastAsia="Calibri" w:hAnsi="Calibri" w:cs="Calibri"/>
          <w:b/>
          <w:sz w:val="24"/>
          <w:szCs w:val="24"/>
        </w:rPr>
      </w:pPr>
    </w:p>
    <w:p w14:paraId="0000001C" w14:textId="77777777" w:rsidR="00C027A6" w:rsidRDefault="000B0392">
      <w:pPr>
        <w:spacing w:before="240" w:after="240"/>
        <w:rPr>
          <w:rFonts w:ascii="Calibri" w:eastAsia="Calibri" w:hAnsi="Calibri" w:cs="Calibri"/>
        </w:rPr>
      </w:pPr>
      <w:r>
        <w:rPr>
          <w:rFonts w:ascii="Calibri" w:eastAsia="Calibri" w:hAnsi="Calibri" w:cs="Calibri"/>
          <w:b/>
          <w:sz w:val="24"/>
          <w:szCs w:val="24"/>
        </w:rPr>
        <w:t>Exploring the voices of young people in school absenteeism: What t</w:t>
      </w:r>
      <w:r>
        <w:rPr>
          <w:rFonts w:ascii="Calibri" w:eastAsia="Calibri" w:hAnsi="Calibri" w:cs="Calibri"/>
          <w:b/>
          <w:sz w:val="24"/>
          <w:szCs w:val="24"/>
        </w:rPr>
        <w:t>hey need schools to know.</w:t>
      </w:r>
    </w:p>
    <w:p w14:paraId="0000001D" w14:textId="77777777" w:rsidR="00C027A6" w:rsidRDefault="000B0392">
      <w:pPr>
        <w:rPr>
          <w:rFonts w:ascii="Calibri" w:eastAsia="Calibri" w:hAnsi="Calibri" w:cs="Calibri"/>
        </w:rPr>
      </w:pPr>
      <w:r>
        <w:rPr>
          <w:rFonts w:ascii="Calibri" w:eastAsia="Calibri" w:hAnsi="Calibri" w:cs="Calibri"/>
        </w:rPr>
        <w:tab/>
      </w:r>
      <w:r>
        <w:rPr>
          <w:rFonts w:ascii="Calibri" w:eastAsia="Calibri" w:hAnsi="Calibri" w:cs="Calibri"/>
        </w:rPr>
        <w:t>School refusal (SR), a subset of school attendance problems (SAP) has been a focus of clinicians and educators. However, while the efficacy of clinical and school programs has been presented by professionals in the field, there is scant research that featu</w:t>
      </w:r>
      <w:r>
        <w:rPr>
          <w:rFonts w:ascii="Calibri" w:eastAsia="Calibri" w:hAnsi="Calibri" w:cs="Calibri"/>
        </w:rPr>
        <w:t>res the perspectives of young people. Researchers need to engage with young people and include their voices in the design of school and clinic-based interventions. The research presented in this chapter focuses on the experiences of youth involved in a re-</w:t>
      </w:r>
      <w:r>
        <w:rPr>
          <w:rFonts w:ascii="Calibri" w:eastAsia="Calibri" w:hAnsi="Calibri" w:cs="Calibri"/>
        </w:rPr>
        <w:t xml:space="preserve">engagement program in Australia and alternative settings in Canada. </w:t>
      </w:r>
    </w:p>
    <w:p w14:paraId="0000001E" w14:textId="77777777" w:rsidR="00C027A6" w:rsidRDefault="000B0392">
      <w:pPr>
        <w:ind w:firstLine="720"/>
        <w:rPr>
          <w:rFonts w:ascii="Calibri" w:eastAsia="Calibri" w:hAnsi="Calibri" w:cs="Calibri"/>
        </w:rPr>
      </w:pPr>
      <w:r>
        <w:rPr>
          <w:rFonts w:ascii="Calibri" w:eastAsia="Calibri" w:hAnsi="Calibri" w:cs="Calibri"/>
        </w:rPr>
        <w:t>In2School is a three-phase re-engagement program for school refusing youth. The model uses a transitional classroom to support students to return to school and is facilitated by an interd</w:t>
      </w:r>
      <w:r>
        <w:rPr>
          <w:rFonts w:ascii="Calibri" w:eastAsia="Calibri" w:hAnsi="Calibri" w:cs="Calibri"/>
        </w:rPr>
        <w:t>isciplinary mental health and education team (McKay-Brown, et al., 2019). The research reported drew on the voices of 46 students who participated in In2School and were aged between 11 and 15 years (M=13.05, SD=1.02). All had mental health diagnoses with s</w:t>
      </w:r>
      <w:r>
        <w:rPr>
          <w:rFonts w:ascii="Calibri" w:eastAsia="Calibri" w:hAnsi="Calibri" w:cs="Calibri"/>
        </w:rPr>
        <w:t xml:space="preserve">ocial anxiety being the most common. Half of the students either </w:t>
      </w:r>
      <w:proofErr w:type="gramStart"/>
      <w:r>
        <w:rPr>
          <w:rFonts w:ascii="Calibri" w:eastAsia="Calibri" w:hAnsi="Calibri" w:cs="Calibri"/>
        </w:rPr>
        <w:t>had, or</w:t>
      </w:r>
      <w:proofErr w:type="gramEnd"/>
      <w:r>
        <w:rPr>
          <w:rFonts w:ascii="Calibri" w:eastAsia="Calibri" w:hAnsi="Calibri" w:cs="Calibri"/>
        </w:rPr>
        <w:t xml:space="preserve"> were diagnosed with Autism Spectrum Disorder. The students had been having trouble attending school for three months to two years (M=12.08 months, SD=8.24 months). The data presented </w:t>
      </w:r>
      <w:r>
        <w:rPr>
          <w:rFonts w:ascii="Calibri" w:eastAsia="Calibri" w:hAnsi="Calibri" w:cs="Calibri"/>
        </w:rPr>
        <w:t>were gathered from a self-report questionnaire administered at the commencement of the program. Questions focused on worries or troubles that impacted school attendance, learning difficulties, other difficulties experienced and return to school supports ne</w:t>
      </w:r>
      <w:r>
        <w:rPr>
          <w:rFonts w:ascii="Calibri" w:eastAsia="Calibri" w:hAnsi="Calibri" w:cs="Calibri"/>
        </w:rPr>
        <w:t>eded.</w:t>
      </w:r>
    </w:p>
    <w:p w14:paraId="0000001F" w14:textId="77777777" w:rsidR="00C027A6" w:rsidRDefault="000B0392">
      <w:pPr>
        <w:ind w:firstLine="720"/>
        <w:rPr>
          <w:rFonts w:ascii="Calibri" w:eastAsia="Calibri" w:hAnsi="Calibri" w:cs="Calibri"/>
        </w:rPr>
      </w:pPr>
      <w:r>
        <w:rPr>
          <w:rFonts w:ascii="Calibri" w:eastAsia="Calibri" w:hAnsi="Calibri" w:cs="Calibri"/>
        </w:rPr>
        <w:t>Analysis of the student voice data highlighted four major themes that represented barriers and facilitators to school attendance. The themes of school climate, learning, social relationships and wellbeing described the most frequently given responses</w:t>
      </w:r>
      <w:r>
        <w:rPr>
          <w:rFonts w:ascii="Calibri" w:eastAsia="Calibri" w:hAnsi="Calibri" w:cs="Calibri"/>
        </w:rPr>
        <w:t xml:space="preserve"> with sub-themes focused </w:t>
      </w:r>
      <w:proofErr w:type="gramStart"/>
      <w:r>
        <w:rPr>
          <w:rFonts w:ascii="Calibri" w:eastAsia="Calibri" w:hAnsi="Calibri" w:cs="Calibri"/>
        </w:rPr>
        <w:t>around</w:t>
      </w:r>
      <w:proofErr w:type="gramEnd"/>
      <w:r>
        <w:rPr>
          <w:rFonts w:ascii="Calibri" w:eastAsia="Calibri" w:hAnsi="Calibri" w:cs="Calibri"/>
        </w:rPr>
        <w:t xml:space="preserve"> peer relationships, teacher-student relationships, perception of learning challenges, and mental health issues.</w:t>
      </w:r>
    </w:p>
    <w:p w14:paraId="00000020" w14:textId="77777777" w:rsidR="00C027A6" w:rsidRDefault="000B0392">
      <w:pPr>
        <w:ind w:firstLine="720"/>
        <w:rPr>
          <w:rFonts w:ascii="Calibri" w:eastAsia="Calibri" w:hAnsi="Calibri" w:cs="Calibri"/>
        </w:rPr>
      </w:pPr>
      <w:r>
        <w:rPr>
          <w:rFonts w:ascii="Calibri" w:eastAsia="Calibri" w:hAnsi="Calibri" w:cs="Calibri"/>
        </w:rPr>
        <w:t xml:space="preserve">School climate barriers encompassed teacher relationships, the size of the school and, in secondary school, the </w:t>
      </w:r>
      <w:r>
        <w:rPr>
          <w:rFonts w:ascii="Calibri" w:eastAsia="Calibri" w:hAnsi="Calibri" w:cs="Calibri"/>
        </w:rPr>
        <w:t>number of different classes youth were required to attend. Students also spoke about the perceived lack of support provided by the school and teachers. Students needed teachers to understand school refusal and acknowledge that this was a legitimate present</w:t>
      </w:r>
      <w:r>
        <w:rPr>
          <w:rFonts w:ascii="Calibri" w:eastAsia="Calibri" w:hAnsi="Calibri" w:cs="Calibri"/>
        </w:rPr>
        <w:t>ation. In fact, for these students, teacher involvement up to and including the point of school disengagement was perceived as unhelpful and not a potential facilitator in returning to school. As teachers can have a positive role in reducing the risk of so</w:t>
      </w:r>
      <w:r>
        <w:rPr>
          <w:rFonts w:ascii="Calibri" w:eastAsia="Calibri" w:hAnsi="Calibri" w:cs="Calibri"/>
        </w:rPr>
        <w:t>cial exclusion and increasing participation (</w:t>
      </w:r>
      <w:proofErr w:type="spellStart"/>
      <w:r>
        <w:rPr>
          <w:rFonts w:ascii="Calibri" w:eastAsia="Calibri" w:hAnsi="Calibri" w:cs="Calibri"/>
        </w:rPr>
        <w:t>Havik</w:t>
      </w:r>
      <w:proofErr w:type="spellEnd"/>
      <w:r>
        <w:rPr>
          <w:rFonts w:ascii="Calibri" w:eastAsia="Calibri" w:hAnsi="Calibri" w:cs="Calibri"/>
        </w:rPr>
        <w:t xml:space="preserve"> et al, 2015) this was a worrying finding. </w:t>
      </w:r>
    </w:p>
    <w:p w14:paraId="00000021" w14:textId="77777777" w:rsidR="00C027A6" w:rsidRDefault="000B0392">
      <w:pPr>
        <w:ind w:firstLine="720"/>
        <w:rPr>
          <w:rFonts w:ascii="Calibri" w:eastAsia="Calibri" w:hAnsi="Calibri" w:cs="Calibri"/>
        </w:rPr>
      </w:pPr>
      <w:r>
        <w:rPr>
          <w:rFonts w:ascii="Calibri" w:eastAsia="Calibri" w:hAnsi="Calibri" w:cs="Calibri"/>
        </w:rPr>
        <w:t>Over half of the young people indicated that learning difficulties, had in some way, contributed to their worry about school or their problems with attendance. Th</w:t>
      </w:r>
      <w:r>
        <w:rPr>
          <w:rFonts w:ascii="Calibri" w:eastAsia="Calibri" w:hAnsi="Calibri" w:cs="Calibri"/>
        </w:rPr>
        <w:t>ese learning challenges included difficulties with concentration, not understanding the expectations of certain tasks, or having the skills necessary to solve problems they encountered. An inability to ask for help was also noted. Mathematics was highlight</w:t>
      </w:r>
      <w:r>
        <w:rPr>
          <w:rFonts w:ascii="Calibri" w:eastAsia="Calibri" w:hAnsi="Calibri" w:cs="Calibri"/>
        </w:rPr>
        <w:t xml:space="preserve">ed as an academic learning area that was particularly troublesome for students. This aligns with research that reports that students with specific learning disabilities, or who experience low academic achievement may exhibit higher levels of SR than those </w:t>
      </w:r>
      <w:r>
        <w:rPr>
          <w:rFonts w:ascii="Calibri" w:eastAsia="Calibri" w:hAnsi="Calibri" w:cs="Calibri"/>
        </w:rPr>
        <w:t>who are more academically able (</w:t>
      </w:r>
      <w:proofErr w:type="spellStart"/>
      <w:r>
        <w:rPr>
          <w:rFonts w:ascii="Calibri" w:eastAsia="Calibri" w:hAnsi="Calibri" w:cs="Calibri"/>
        </w:rPr>
        <w:t>Filippello</w:t>
      </w:r>
      <w:proofErr w:type="spellEnd"/>
      <w:r>
        <w:rPr>
          <w:rFonts w:ascii="Calibri" w:eastAsia="Calibri" w:hAnsi="Calibri" w:cs="Calibri"/>
        </w:rPr>
        <w:t xml:space="preserve">, </w:t>
      </w:r>
      <w:proofErr w:type="spellStart"/>
      <w:r>
        <w:rPr>
          <w:rFonts w:ascii="Calibri" w:eastAsia="Calibri" w:hAnsi="Calibri" w:cs="Calibri"/>
        </w:rPr>
        <w:t>Buzzai</w:t>
      </w:r>
      <w:proofErr w:type="spellEnd"/>
      <w:r>
        <w:rPr>
          <w:rFonts w:ascii="Calibri" w:eastAsia="Calibri" w:hAnsi="Calibri" w:cs="Calibri"/>
        </w:rPr>
        <w:t xml:space="preserve">, Messina, </w:t>
      </w:r>
      <w:proofErr w:type="spellStart"/>
      <w:r>
        <w:rPr>
          <w:rFonts w:ascii="Calibri" w:eastAsia="Calibri" w:hAnsi="Calibri" w:cs="Calibri"/>
        </w:rPr>
        <w:t>Mafodda</w:t>
      </w:r>
      <w:proofErr w:type="spellEnd"/>
      <w:r>
        <w:rPr>
          <w:rFonts w:ascii="Calibri" w:eastAsia="Calibri" w:hAnsi="Calibri" w:cs="Calibri"/>
        </w:rPr>
        <w:t xml:space="preserve">, &amp; </w:t>
      </w:r>
      <w:proofErr w:type="spellStart"/>
      <w:r>
        <w:rPr>
          <w:rFonts w:ascii="Calibri" w:eastAsia="Calibri" w:hAnsi="Calibri" w:cs="Calibri"/>
        </w:rPr>
        <w:t>Sorrenti</w:t>
      </w:r>
      <w:proofErr w:type="spellEnd"/>
      <w:r>
        <w:rPr>
          <w:rFonts w:ascii="Calibri" w:eastAsia="Calibri" w:hAnsi="Calibri" w:cs="Calibri"/>
        </w:rPr>
        <w:t xml:space="preserve">, 2019). </w:t>
      </w:r>
    </w:p>
    <w:p w14:paraId="00000022" w14:textId="77777777" w:rsidR="00C027A6" w:rsidRDefault="000B0392">
      <w:pPr>
        <w:ind w:firstLine="720"/>
        <w:rPr>
          <w:rFonts w:ascii="Calibri" w:eastAsia="Calibri" w:hAnsi="Calibri" w:cs="Calibri"/>
        </w:rPr>
      </w:pPr>
      <w:r>
        <w:rPr>
          <w:rFonts w:ascii="Calibri" w:eastAsia="Calibri" w:hAnsi="Calibri" w:cs="Calibri"/>
        </w:rPr>
        <w:lastRenderedPageBreak/>
        <w:t>Social factors linked to attending school included difficulty making friends and a recognized lack of social skills. Social avoidance strategies were also present, wi</w:t>
      </w:r>
      <w:r>
        <w:rPr>
          <w:rFonts w:ascii="Calibri" w:eastAsia="Calibri" w:hAnsi="Calibri" w:cs="Calibri"/>
        </w:rPr>
        <w:t xml:space="preserve">th students preferring to avoid school to escape peer interaction and engagement, with some noting social phobia. In line with research by Spence, Donovan, and </w:t>
      </w:r>
      <w:proofErr w:type="spellStart"/>
      <w:r>
        <w:rPr>
          <w:rFonts w:ascii="Calibri" w:eastAsia="Calibri" w:hAnsi="Calibri" w:cs="Calibri"/>
        </w:rPr>
        <w:t>Brechman</w:t>
      </w:r>
      <w:proofErr w:type="spellEnd"/>
      <w:r>
        <w:rPr>
          <w:rFonts w:ascii="Calibri" w:eastAsia="Calibri" w:hAnsi="Calibri" w:cs="Calibri"/>
        </w:rPr>
        <w:t xml:space="preserve">-Toussaint (1999), these avoidance strategies were exacerbated by long term absence and </w:t>
      </w:r>
      <w:r>
        <w:rPr>
          <w:rFonts w:ascii="Calibri" w:eastAsia="Calibri" w:hAnsi="Calibri" w:cs="Calibri"/>
        </w:rPr>
        <w:t xml:space="preserve">resulted in greater fear in returning to school. </w:t>
      </w:r>
    </w:p>
    <w:p w14:paraId="00000023" w14:textId="77777777" w:rsidR="00C027A6" w:rsidRDefault="000B0392">
      <w:pPr>
        <w:ind w:firstLine="720"/>
        <w:rPr>
          <w:rFonts w:ascii="Calibri" w:eastAsia="Calibri" w:hAnsi="Calibri" w:cs="Calibri"/>
        </w:rPr>
      </w:pPr>
      <w:r>
        <w:rPr>
          <w:rFonts w:ascii="Calibri" w:eastAsia="Calibri" w:hAnsi="Calibri" w:cs="Calibri"/>
        </w:rPr>
        <w:t>Students in their late teens can also exhibit psychological distress at the prospect of coming to school. The second author’s doctoral research focused on how “last chance” alternative high schools, designe</w:t>
      </w:r>
      <w:r>
        <w:rPr>
          <w:rFonts w:ascii="Calibri" w:eastAsia="Calibri" w:hAnsi="Calibri" w:cs="Calibri"/>
        </w:rPr>
        <w:t>d to assist struggling students to graduate, responded to absenteeism (</w:t>
      </w:r>
      <w:proofErr w:type="spellStart"/>
      <w:r>
        <w:rPr>
          <w:rFonts w:ascii="Calibri" w:eastAsia="Calibri" w:hAnsi="Calibri" w:cs="Calibri"/>
        </w:rPr>
        <w:t>Birioukov</w:t>
      </w:r>
      <w:proofErr w:type="spellEnd"/>
      <w:r>
        <w:rPr>
          <w:rFonts w:ascii="Calibri" w:eastAsia="Calibri" w:hAnsi="Calibri" w:cs="Calibri"/>
        </w:rPr>
        <w:t>, 2020). The research drew on interviews with 40 students, aged 17-20 (M=16.8, SD=0.73), attending 4 alternative schools in Ontario, Canada. Interviews with the students were c</w:t>
      </w:r>
      <w:r>
        <w:rPr>
          <w:rFonts w:ascii="Calibri" w:eastAsia="Calibri" w:hAnsi="Calibri" w:cs="Calibri"/>
        </w:rPr>
        <w:t>arried out through a life-course perspective (</w:t>
      </w:r>
      <w:proofErr w:type="spellStart"/>
      <w:r>
        <w:rPr>
          <w:rFonts w:ascii="Calibri" w:eastAsia="Calibri" w:hAnsi="Calibri" w:cs="Calibri"/>
        </w:rPr>
        <w:t>Blossfeld</w:t>
      </w:r>
      <w:proofErr w:type="spellEnd"/>
      <w:r>
        <w:rPr>
          <w:rFonts w:ascii="Calibri" w:eastAsia="Calibri" w:hAnsi="Calibri" w:cs="Calibri"/>
        </w:rPr>
        <w:t xml:space="preserve"> &amp; von Maurice, 2019), where the youths discussed absenteeism over their high school careers. Most students had attended at least two mainstream high schools (M=2.1, SD=1.53); therefore, some questions</w:t>
      </w:r>
      <w:r>
        <w:rPr>
          <w:rFonts w:ascii="Calibri" w:eastAsia="Calibri" w:hAnsi="Calibri" w:cs="Calibri"/>
        </w:rPr>
        <w:t xml:space="preserve"> revolved around the students’ past absenteeism in the mainstream setting.</w:t>
      </w:r>
    </w:p>
    <w:p w14:paraId="00000024" w14:textId="77777777" w:rsidR="00C027A6" w:rsidRDefault="000B0392">
      <w:pPr>
        <w:rPr>
          <w:rFonts w:ascii="Calibri" w:eastAsia="Calibri" w:hAnsi="Calibri" w:cs="Calibri"/>
        </w:rPr>
      </w:pPr>
      <w:r>
        <w:rPr>
          <w:rFonts w:ascii="Calibri" w:eastAsia="Calibri" w:hAnsi="Calibri" w:cs="Calibri"/>
        </w:rPr>
        <w:t xml:space="preserve">            The interviews revealed that SR </w:t>
      </w:r>
      <w:proofErr w:type="spellStart"/>
      <w:r>
        <w:rPr>
          <w:rFonts w:ascii="Calibri" w:eastAsia="Calibri" w:hAnsi="Calibri" w:cs="Calibri"/>
        </w:rPr>
        <w:t>behaviour</w:t>
      </w:r>
      <w:proofErr w:type="spellEnd"/>
      <w:r>
        <w:rPr>
          <w:rFonts w:ascii="Calibri" w:eastAsia="Calibri" w:hAnsi="Calibri" w:cs="Calibri"/>
        </w:rPr>
        <w:t xml:space="preserve"> is evident in the high school student population, with 12 out of 40 students reporting SR for predominantly anxiety- and depres</w:t>
      </w:r>
      <w:r>
        <w:rPr>
          <w:rFonts w:ascii="Calibri" w:eastAsia="Calibri" w:hAnsi="Calibri" w:cs="Calibri"/>
        </w:rPr>
        <w:t>sion-related reasons. School refusing students reported similar barriers and facilitators to attendance reported in the In2School sample. Namely, key barriers being school climate, learning, and social relationships.</w:t>
      </w:r>
    </w:p>
    <w:p w14:paraId="00000025" w14:textId="77777777" w:rsidR="00C027A6" w:rsidRDefault="000B0392">
      <w:pPr>
        <w:rPr>
          <w:rFonts w:ascii="Calibri" w:eastAsia="Calibri" w:hAnsi="Calibri" w:cs="Calibri"/>
        </w:rPr>
      </w:pPr>
      <w:r>
        <w:rPr>
          <w:rFonts w:ascii="Calibri" w:eastAsia="Calibri" w:hAnsi="Calibri" w:cs="Calibri"/>
        </w:rPr>
        <w:t xml:space="preserve">            The students spoke at lengt</w:t>
      </w:r>
      <w:r>
        <w:rPr>
          <w:rFonts w:ascii="Calibri" w:eastAsia="Calibri" w:hAnsi="Calibri" w:cs="Calibri"/>
        </w:rPr>
        <w:t>h about feeling lost and invisible in large, inhospitable schools that numbered well into the thousands. Being thrust into overcrowded classrooms of over 30 students only served to exacerbate the feelings of alienation many youths reported. To make matters</w:t>
      </w:r>
      <w:r>
        <w:rPr>
          <w:rFonts w:ascii="Calibri" w:eastAsia="Calibri" w:hAnsi="Calibri" w:cs="Calibri"/>
        </w:rPr>
        <w:t xml:space="preserve"> worse, students reported being singled out and ridiculed by their teachers for their inability to attend. The teachers did not appear to be </w:t>
      </w:r>
      <w:proofErr w:type="spellStart"/>
      <w:r>
        <w:rPr>
          <w:rFonts w:ascii="Calibri" w:eastAsia="Calibri" w:hAnsi="Calibri" w:cs="Calibri"/>
        </w:rPr>
        <w:t>cognisant</w:t>
      </w:r>
      <w:proofErr w:type="spellEnd"/>
      <w:r>
        <w:rPr>
          <w:rFonts w:ascii="Calibri" w:eastAsia="Calibri" w:hAnsi="Calibri" w:cs="Calibri"/>
        </w:rPr>
        <w:t xml:space="preserve"> of the mental health difficulties the students were experiencing, and hence did not respond to their abse</w:t>
      </w:r>
      <w:r>
        <w:rPr>
          <w:rFonts w:ascii="Calibri" w:eastAsia="Calibri" w:hAnsi="Calibri" w:cs="Calibri"/>
        </w:rPr>
        <w:t>nteeism in a constructive manner. This lack of understanding was also evidenced by the lack of flexibility and/or accommodations provided to absent students. They reported receiving little, if any, additional instruction and assistance for the work they ha</w:t>
      </w:r>
      <w:r>
        <w:rPr>
          <w:rFonts w:ascii="Calibri" w:eastAsia="Calibri" w:hAnsi="Calibri" w:cs="Calibri"/>
        </w:rPr>
        <w:t xml:space="preserve">d </w:t>
      </w:r>
      <w:proofErr w:type="gramStart"/>
      <w:r>
        <w:rPr>
          <w:rFonts w:ascii="Calibri" w:eastAsia="Calibri" w:hAnsi="Calibri" w:cs="Calibri"/>
        </w:rPr>
        <w:t>missed, and</w:t>
      </w:r>
      <w:proofErr w:type="gramEnd"/>
      <w:r>
        <w:rPr>
          <w:rFonts w:ascii="Calibri" w:eastAsia="Calibri" w:hAnsi="Calibri" w:cs="Calibri"/>
        </w:rPr>
        <w:t xml:space="preserve"> were expected to complete any outstanding assignments independently. As a result, the students quickly fell behind in their schoolwork, and overwhelmed, missed even more classes. The increased absenteeism strained the precarious relationships</w:t>
      </w:r>
      <w:r>
        <w:rPr>
          <w:rFonts w:ascii="Calibri" w:eastAsia="Calibri" w:hAnsi="Calibri" w:cs="Calibri"/>
        </w:rPr>
        <w:t xml:space="preserve"> the students had with their classmates. Being absent for days and weeks at a time, the youth reported difficulties in maintaining friendships, and they slowly became outcasts who felt disconnected from the school community. Cumulatively, the students repo</w:t>
      </w:r>
      <w:r>
        <w:rPr>
          <w:rFonts w:ascii="Calibri" w:eastAsia="Calibri" w:hAnsi="Calibri" w:cs="Calibri"/>
        </w:rPr>
        <w:t>rted a cycle of absenteeism occurring, as their anxieties and depressions worsened, the schools became a hostile and negative environment that served to push the students further to the margins of the education system.</w:t>
      </w:r>
    </w:p>
    <w:p w14:paraId="00000026" w14:textId="77777777" w:rsidR="00C027A6" w:rsidRDefault="000B0392">
      <w:pPr>
        <w:ind w:firstLine="720"/>
        <w:rPr>
          <w:rFonts w:ascii="Calibri" w:eastAsia="Calibri" w:hAnsi="Calibri" w:cs="Calibri"/>
        </w:rPr>
      </w:pPr>
      <w:r>
        <w:rPr>
          <w:rFonts w:ascii="Calibri" w:eastAsia="Calibri" w:hAnsi="Calibri" w:cs="Calibri"/>
        </w:rPr>
        <w:t>Students in both studies provided sug</w:t>
      </w:r>
      <w:r>
        <w:rPr>
          <w:rFonts w:ascii="Calibri" w:eastAsia="Calibri" w:hAnsi="Calibri" w:cs="Calibri"/>
        </w:rPr>
        <w:t xml:space="preserve">gestions for what would support them to attend school. For students in the In2School program these included </w:t>
      </w:r>
      <w:proofErr w:type="spellStart"/>
      <w:r>
        <w:rPr>
          <w:rFonts w:ascii="Calibri" w:eastAsia="Calibri" w:hAnsi="Calibri" w:cs="Calibri"/>
        </w:rPr>
        <w:t>organisational</w:t>
      </w:r>
      <w:proofErr w:type="spellEnd"/>
      <w:r>
        <w:rPr>
          <w:rFonts w:ascii="Calibri" w:eastAsia="Calibri" w:hAnsi="Calibri" w:cs="Calibri"/>
        </w:rPr>
        <w:t xml:space="preserve"> and learning supports. Students needed safe spaces in the school setting as well as school staff they could rely on to support their </w:t>
      </w:r>
      <w:r>
        <w:rPr>
          <w:rFonts w:ascii="Calibri" w:eastAsia="Calibri" w:hAnsi="Calibri" w:cs="Calibri"/>
        </w:rPr>
        <w:t xml:space="preserve">re-engagement and who understood their mental health struggles. Academic expectations needed adjustment as well as the removal of punitive measures for not meeting learning goals. Students also highlighted the importance of being supported to use coping, </w:t>
      </w:r>
      <w:proofErr w:type="gramStart"/>
      <w:r>
        <w:rPr>
          <w:rFonts w:ascii="Calibri" w:eastAsia="Calibri" w:hAnsi="Calibri" w:cs="Calibri"/>
        </w:rPr>
        <w:t>c</w:t>
      </w:r>
      <w:r>
        <w:rPr>
          <w:rFonts w:ascii="Calibri" w:eastAsia="Calibri" w:hAnsi="Calibri" w:cs="Calibri"/>
        </w:rPr>
        <w:t>ommunication</w:t>
      </w:r>
      <w:proofErr w:type="gramEnd"/>
      <w:r>
        <w:rPr>
          <w:rFonts w:ascii="Calibri" w:eastAsia="Calibri" w:hAnsi="Calibri" w:cs="Calibri"/>
        </w:rPr>
        <w:t xml:space="preserve"> and social skills in the mainstream setting. The students in the Canadian alternative schools too wished for compassionate and caring educators, who were aware of the mental health difficulties their students undergo. Moreover, the students de</w:t>
      </w:r>
      <w:r>
        <w:rPr>
          <w:rFonts w:ascii="Calibri" w:eastAsia="Calibri" w:hAnsi="Calibri" w:cs="Calibri"/>
        </w:rPr>
        <w:t xml:space="preserve">sired more agency in their education, namely being able to choose content and learning </w:t>
      </w:r>
      <w:r>
        <w:rPr>
          <w:rFonts w:ascii="Calibri" w:eastAsia="Calibri" w:hAnsi="Calibri" w:cs="Calibri"/>
        </w:rPr>
        <w:lastRenderedPageBreak/>
        <w:t>tasks that allow for the individualization of the learning experience. Lastly, there were suggestions for reducing school and class sizes.</w:t>
      </w:r>
    </w:p>
    <w:p w14:paraId="00000027" w14:textId="77777777" w:rsidR="00C027A6" w:rsidRDefault="000B0392">
      <w:pPr>
        <w:ind w:firstLine="720"/>
        <w:rPr>
          <w:rFonts w:ascii="Calibri" w:eastAsia="Calibri" w:hAnsi="Calibri" w:cs="Calibri"/>
        </w:rPr>
      </w:pPr>
      <w:r>
        <w:rPr>
          <w:rFonts w:ascii="Calibri" w:eastAsia="Calibri" w:hAnsi="Calibri" w:cs="Calibri"/>
        </w:rPr>
        <w:t>The two studies examined in th</w:t>
      </w:r>
      <w:r>
        <w:rPr>
          <w:rFonts w:ascii="Calibri" w:eastAsia="Calibri" w:hAnsi="Calibri" w:cs="Calibri"/>
        </w:rPr>
        <w:t xml:space="preserve">is chapter found that SR leads to student </w:t>
      </w:r>
      <w:proofErr w:type="spellStart"/>
      <w:r>
        <w:rPr>
          <w:rFonts w:ascii="Calibri" w:eastAsia="Calibri" w:hAnsi="Calibri" w:cs="Calibri"/>
        </w:rPr>
        <w:t>marginalisation</w:t>
      </w:r>
      <w:proofErr w:type="spellEnd"/>
      <w:r>
        <w:rPr>
          <w:rFonts w:ascii="Calibri" w:eastAsia="Calibri" w:hAnsi="Calibri" w:cs="Calibri"/>
        </w:rPr>
        <w:t xml:space="preserve"> from mainstream schooling and a silencing of student voice. Both studies suggest that individuals need to be </w:t>
      </w:r>
      <w:proofErr w:type="spellStart"/>
      <w:r>
        <w:rPr>
          <w:rFonts w:ascii="Calibri" w:eastAsia="Calibri" w:hAnsi="Calibri" w:cs="Calibri"/>
        </w:rPr>
        <w:t>recognised</w:t>
      </w:r>
      <w:proofErr w:type="spellEnd"/>
      <w:r>
        <w:rPr>
          <w:rFonts w:ascii="Calibri" w:eastAsia="Calibri" w:hAnsi="Calibri" w:cs="Calibri"/>
        </w:rPr>
        <w:t xml:space="preserve"> as competent and credible within their systems to </w:t>
      </w:r>
      <w:proofErr w:type="spellStart"/>
      <w:r>
        <w:rPr>
          <w:rFonts w:ascii="Calibri" w:eastAsia="Calibri" w:hAnsi="Calibri" w:cs="Calibri"/>
        </w:rPr>
        <w:t>minimise</w:t>
      </w:r>
      <w:proofErr w:type="spellEnd"/>
      <w:r>
        <w:rPr>
          <w:rFonts w:ascii="Calibri" w:eastAsia="Calibri" w:hAnsi="Calibri" w:cs="Calibri"/>
        </w:rPr>
        <w:t xml:space="preserve"> feelings of disempo</w:t>
      </w:r>
      <w:r>
        <w:rPr>
          <w:rFonts w:ascii="Calibri" w:eastAsia="Calibri" w:hAnsi="Calibri" w:cs="Calibri"/>
        </w:rPr>
        <w:t xml:space="preserve">werment and </w:t>
      </w:r>
      <w:proofErr w:type="spellStart"/>
      <w:r>
        <w:rPr>
          <w:rFonts w:ascii="Calibri" w:eastAsia="Calibri" w:hAnsi="Calibri" w:cs="Calibri"/>
        </w:rPr>
        <w:t>marginalisation</w:t>
      </w:r>
      <w:proofErr w:type="spellEnd"/>
      <w:r>
        <w:rPr>
          <w:rFonts w:ascii="Calibri" w:eastAsia="Calibri" w:hAnsi="Calibri" w:cs="Calibri"/>
        </w:rPr>
        <w:t xml:space="preserve"> (</w:t>
      </w:r>
      <w:proofErr w:type="spellStart"/>
      <w:r>
        <w:rPr>
          <w:rFonts w:ascii="Calibri" w:eastAsia="Calibri" w:hAnsi="Calibri" w:cs="Calibri"/>
        </w:rPr>
        <w:t>Rothery</w:t>
      </w:r>
      <w:proofErr w:type="spellEnd"/>
      <w:r>
        <w:rPr>
          <w:rFonts w:ascii="Calibri" w:eastAsia="Calibri" w:hAnsi="Calibri" w:cs="Calibri"/>
        </w:rPr>
        <w:t xml:space="preserve">, 2007). Other shared findings included students’ need to be recognized and understood within their mainstream school and feel a sense of legitimacy and belonging. Students also expressed a need for empathetic educators </w:t>
      </w:r>
      <w:r>
        <w:rPr>
          <w:rFonts w:ascii="Calibri" w:eastAsia="Calibri" w:hAnsi="Calibri" w:cs="Calibri"/>
        </w:rPr>
        <w:t xml:space="preserve">with knowledge of SR and its impacts. </w:t>
      </w:r>
    </w:p>
    <w:p w14:paraId="00000028" w14:textId="77777777" w:rsidR="00C027A6" w:rsidRDefault="000B0392">
      <w:pPr>
        <w:ind w:firstLine="720"/>
        <w:rPr>
          <w:rFonts w:ascii="Calibri" w:eastAsia="Calibri" w:hAnsi="Calibri" w:cs="Calibri"/>
        </w:rPr>
      </w:pPr>
      <w:r>
        <w:rPr>
          <w:rFonts w:ascii="Calibri" w:eastAsia="Calibri" w:hAnsi="Calibri" w:cs="Calibri"/>
        </w:rPr>
        <w:t>In conclusion, student voice and agency should be integral in the development of interventions for SR and SAPs in general. Given the opportunity, students can provide a unique perspective on their school climate, lear</w:t>
      </w:r>
      <w:r>
        <w:rPr>
          <w:rFonts w:ascii="Calibri" w:eastAsia="Calibri" w:hAnsi="Calibri" w:cs="Calibri"/>
        </w:rPr>
        <w:t>ning and social relationship needs which in turn can inform the work of professionals and</w:t>
      </w:r>
      <w:proofErr w:type="gramStart"/>
      <w:r>
        <w:rPr>
          <w:rFonts w:ascii="Calibri" w:eastAsia="Calibri" w:hAnsi="Calibri" w:cs="Calibri"/>
        </w:rPr>
        <w:t>, in particular, schools</w:t>
      </w:r>
      <w:proofErr w:type="gramEnd"/>
      <w:r>
        <w:rPr>
          <w:rFonts w:ascii="Calibri" w:eastAsia="Calibri" w:hAnsi="Calibri" w:cs="Calibri"/>
        </w:rPr>
        <w:t xml:space="preserve"> to proactively address this complex presentation.</w:t>
      </w:r>
    </w:p>
    <w:p w14:paraId="00000029" w14:textId="77777777" w:rsidR="00C027A6" w:rsidRDefault="00C027A6">
      <w:pPr>
        <w:rPr>
          <w:rFonts w:ascii="Calibri" w:eastAsia="Calibri" w:hAnsi="Calibri" w:cs="Calibri"/>
        </w:rPr>
      </w:pPr>
    </w:p>
    <w:p w14:paraId="0000002A" w14:textId="77777777" w:rsidR="00C027A6" w:rsidRDefault="00C027A6">
      <w:pPr>
        <w:rPr>
          <w:rFonts w:ascii="Calibri" w:eastAsia="Calibri" w:hAnsi="Calibri" w:cs="Calibri"/>
        </w:rPr>
      </w:pPr>
    </w:p>
    <w:p w14:paraId="0000002B" w14:textId="77777777" w:rsidR="00C027A6" w:rsidRDefault="000B0392">
      <w:pPr>
        <w:spacing w:line="240" w:lineRule="auto"/>
        <w:rPr>
          <w:rFonts w:ascii="Calibri" w:eastAsia="Calibri" w:hAnsi="Calibri" w:cs="Calibri"/>
        </w:rPr>
      </w:pPr>
      <w:r>
        <w:rPr>
          <w:rFonts w:ascii="Calibri" w:eastAsia="Calibri" w:hAnsi="Calibri" w:cs="Calibri"/>
        </w:rPr>
        <w:t>References:</w:t>
      </w:r>
    </w:p>
    <w:p w14:paraId="0000002C" w14:textId="77777777" w:rsidR="00C027A6" w:rsidRDefault="00C027A6">
      <w:pPr>
        <w:spacing w:line="240" w:lineRule="auto"/>
        <w:rPr>
          <w:rFonts w:ascii="Calibri" w:eastAsia="Calibri" w:hAnsi="Calibri" w:cs="Calibri"/>
        </w:rPr>
      </w:pPr>
    </w:p>
    <w:p w14:paraId="0000002D" w14:textId="77777777" w:rsidR="00C027A6" w:rsidRDefault="000B0392">
      <w:pPr>
        <w:spacing w:line="240" w:lineRule="auto"/>
        <w:rPr>
          <w:rFonts w:ascii="Calibri" w:eastAsia="Calibri" w:hAnsi="Calibri" w:cs="Calibri"/>
        </w:rPr>
      </w:pPr>
      <w:proofErr w:type="spellStart"/>
      <w:r>
        <w:rPr>
          <w:rFonts w:ascii="Calibri" w:eastAsia="Calibri" w:hAnsi="Calibri" w:cs="Calibri"/>
        </w:rPr>
        <w:t>Birioukov</w:t>
      </w:r>
      <w:proofErr w:type="spellEnd"/>
      <w:r>
        <w:rPr>
          <w:rFonts w:ascii="Calibri" w:eastAsia="Calibri" w:hAnsi="Calibri" w:cs="Calibri"/>
        </w:rPr>
        <w:t xml:space="preserve">, A. (2020). </w:t>
      </w:r>
      <w:r>
        <w:rPr>
          <w:rFonts w:ascii="Calibri" w:eastAsia="Calibri" w:hAnsi="Calibri" w:cs="Calibri"/>
          <w:i/>
        </w:rPr>
        <w:t xml:space="preserve">Attending to absentees: An investigation of how four urban alternative schools respond to absenteeism </w:t>
      </w:r>
      <w:r>
        <w:rPr>
          <w:rFonts w:ascii="Calibri" w:eastAsia="Calibri" w:hAnsi="Calibri" w:cs="Calibri"/>
        </w:rPr>
        <w:t>[Unpublished doctoral dissertation]. University of Ottawa.</w:t>
      </w:r>
    </w:p>
    <w:p w14:paraId="0000002E" w14:textId="77777777" w:rsidR="00C027A6" w:rsidRDefault="00C027A6">
      <w:pPr>
        <w:spacing w:line="240" w:lineRule="auto"/>
        <w:rPr>
          <w:rFonts w:ascii="Calibri" w:eastAsia="Calibri" w:hAnsi="Calibri" w:cs="Calibri"/>
        </w:rPr>
      </w:pPr>
    </w:p>
    <w:p w14:paraId="0000002F" w14:textId="77777777" w:rsidR="00C027A6" w:rsidRDefault="000B0392">
      <w:pPr>
        <w:spacing w:line="240" w:lineRule="auto"/>
        <w:rPr>
          <w:rFonts w:ascii="Calibri" w:eastAsia="Calibri" w:hAnsi="Calibri" w:cs="Calibri"/>
        </w:rPr>
      </w:pPr>
      <w:proofErr w:type="spellStart"/>
      <w:r>
        <w:rPr>
          <w:rFonts w:ascii="Calibri" w:eastAsia="Calibri" w:hAnsi="Calibri" w:cs="Calibri"/>
        </w:rPr>
        <w:t>Blossfeld</w:t>
      </w:r>
      <w:proofErr w:type="spellEnd"/>
      <w:r>
        <w:rPr>
          <w:rFonts w:ascii="Calibri" w:eastAsia="Calibri" w:hAnsi="Calibri" w:cs="Calibri"/>
        </w:rPr>
        <w:t xml:space="preserve">, H-P., &amp; von Maurice, J. (2019). Education as a lifelong process. In H-P. </w:t>
      </w:r>
      <w:proofErr w:type="spellStart"/>
      <w:r>
        <w:rPr>
          <w:rFonts w:ascii="Calibri" w:eastAsia="Calibri" w:hAnsi="Calibri" w:cs="Calibri"/>
        </w:rPr>
        <w:t>Blossfeld</w:t>
      </w:r>
      <w:proofErr w:type="spellEnd"/>
      <w:r>
        <w:rPr>
          <w:rFonts w:ascii="Calibri" w:eastAsia="Calibri" w:hAnsi="Calibri" w:cs="Calibri"/>
        </w:rPr>
        <w:t xml:space="preserve"> </w:t>
      </w:r>
      <w:r>
        <w:rPr>
          <w:rFonts w:ascii="Calibri" w:eastAsia="Calibri" w:hAnsi="Calibri" w:cs="Calibri"/>
        </w:rPr>
        <w:t xml:space="preserve">&amp; H-G. </w:t>
      </w:r>
      <w:proofErr w:type="spellStart"/>
      <w:r>
        <w:rPr>
          <w:rFonts w:ascii="Calibri" w:eastAsia="Calibri" w:hAnsi="Calibri" w:cs="Calibri"/>
        </w:rPr>
        <w:t>Roßbach</w:t>
      </w:r>
      <w:proofErr w:type="spellEnd"/>
      <w:r>
        <w:rPr>
          <w:rFonts w:ascii="Calibri" w:eastAsia="Calibri" w:hAnsi="Calibri" w:cs="Calibri"/>
        </w:rPr>
        <w:t xml:space="preserve"> (Eds.). </w:t>
      </w:r>
      <w:r>
        <w:rPr>
          <w:rFonts w:ascii="Calibri" w:eastAsia="Calibri" w:hAnsi="Calibri" w:cs="Calibri"/>
          <w:i/>
        </w:rPr>
        <w:t xml:space="preserve">Education as a lifelong process: The German National Educational Panel Study (NEPS) </w:t>
      </w:r>
      <w:r>
        <w:rPr>
          <w:rFonts w:ascii="Calibri" w:eastAsia="Calibri" w:hAnsi="Calibri" w:cs="Calibri"/>
        </w:rPr>
        <w:t>(2</w:t>
      </w:r>
      <w:r>
        <w:rPr>
          <w:rFonts w:ascii="Calibri" w:eastAsia="Calibri" w:hAnsi="Calibri" w:cs="Calibri"/>
          <w:vertAlign w:val="superscript"/>
        </w:rPr>
        <w:t>nd</w:t>
      </w:r>
      <w:r>
        <w:rPr>
          <w:rFonts w:ascii="Calibri" w:eastAsia="Calibri" w:hAnsi="Calibri" w:cs="Calibri"/>
        </w:rPr>
        <w:t xml:space="preserve"> ed.) (pp. 17-34). Springer VS.</w:t>
      </w:r>
    </w:p>
    <w:p w14:paraId="00000030" w14:textId="77777777" w:rsidR="00C027A6" w:rsidRDefault="00C027A6">
      <w:pPr>
        <w:spacing w:line="240" w:lineRule="auto"/>
        <w:rPr>
          <w:rFonts w:ascii="Calibri" w:eastAsia="Calibri" w:hAnsi="Calibri" w:cs="Calibri"/>
        </w:rPr>
      </w:pPr>
    </w:p>
    <w:p w14:paraId="00000031" w14:textId="77777777" w:rsidR="00C027A6" w:rsidRDefault="000B0392">
      <w:pPr>
        <w:spacing w:line="240" w:lineRule="auto"/>
        <w:rPr>
          <w:rFonts w:ascii="Calibri" w:eastAsia="Calibri" w:hAnsi="Calibri" w:cs="Calibri"/>
        </w:rPr>
      </w:pPr>
      <w:proofErr w:type="spellStart"/>
      <w:r>
        <w:rPr>
          <w:rFonts w:ascii="Calibri" w:eastAsia="Calibri" w:hAnsi="Calibri" w:cs="Calibri"/>
        </w:rPr>
        <w:t>Filippello</w:t>
      </w:r>
      <w:proofErr w:type="spellEnd"/>
      <w:r>
        <w:rPr>
          <w:rFonts w:ascii="Calibri" w:eastAsia="Calibri" w:hAnsi="Calibri" w:cs="Calibri"/>
        </w:rPr>
        <w:t xml:space="preserve">, P., </w:t>
      </w:r>
      <w:proofErr w:type="spellStart"/>
      <w:r>
        <w:rPr>
          <w:rFonts w:ascii="Calibri" w:eastAsia="Calibri" w:hAnsi="Calibri" w:cs="Calibri"/>
        </w:rPr>
        <w:t>Buzzai</w:t>
      </w:r>
      <w:proofErr w:type="spellEnd"/>
      <w:r>
        <w:rPr>
          <w:rFonts w:ascii="Calibri" w:eastAsia="Calibri" w:hAnsi="Calibri" w:cs="Calibri"/>
        </w:rPr>
        <w:t xml:space="preserve">, C., Messina, G., </w:t>
      </w:r>
      <w:proofErr w:type="spellStart"/>
      <w:r>
        <w:rPr>
          <w:rFonts w:ascii="Calibri" w:eastAsia="Calibri" w:hAnsi="Calibri" w:cs="Calibri"/>
        </w:rPr>
        <w:t>Mafodda</w:t>
      </w:r>
      <w:proofErr w:type="spellEnd"/>
      <w:r>
        <w:rPr>
          <w:rFonts w:ascii="Calibri" w:eastAsia="Calibri" w:hAnsi="Calibri" w:cs="Calibri"/>
        </w:rPr>
        <w:t xml:space="preserve">, A. V., &amp; </w:t>
      </w:r>
      <w:proofErr w:type="spellStart"/>
      <w:r>
        <w:rPr>
          <w:rFonts w:ascii="Calibri" w:eastAsia="Calibri" w:hAnsi="Calibri" w:cs="Calibri"/>
        </w:rPr>
        <w:t>Sorrenti</w:t>
      </w:r>
      <w:proofErr w:type="spellEnd"/>
      <w:r>
        <w:rPr>
          <w:rFonts w:ascii="Calibri" w:eastAsia="Calibri" w:hAnsi="Calibri" w:cs="Calibri"/>
        </w:rPr>
        <w:t xml:space="preserve">, L. (2019). School Refusal in Students with </w:t>
      </w:r>
      <w:r>
        <w:rPr>
          <w:rFonts w:ascii="Calibri" w:eastAsia="Calibri" w:hAnsi="Calibri" w:cs="Calibri"/>
        </w:rPr>
        <w:t xml:space="preserve">Low Academic Performances and Specific Learning Disorder. The Role of Self-Esteem and Perceived Parental Psychological Control. </w:t>
      </w:r>
      <w:r>
        <w:rPr>
          <w:rFonts w:ascii="Calibri" w:eastAsia="Calibri" w:hAnsi="Calibri" w:cs="Calibri"/>
          <w:i/>
        </w:rPr>
        <w:t>International Journal of Disability, Development and Education</w:t>
      </w:r>
      <w:r>
        <w:rPr>
          <w:rFonts w:ascii="Calibri" w:eastAsia="Calibri" w:hAnsi="Calibri" w:cs="Calibri"/>
        </w:rPr>
        <w:t xml:space="preserve">, 1-16. doi:10.1080/1034912X.2019.1626006 </w:t>
      </w:r>
    </w:p>
    <w:p w14:paraId="00000032" w14:textId="77777777" w:rsidR="00C027A6" w:rsidRDefault="00C027A6">
      <w:pPr>
        <w:spacing w:line="240" w:lineRule="auto"/>
        <w:rPr>
          <w:rFonts w:ascii="Calibri" w:eastAsia="Calibri" w:hAnsi="Calibri" w:cs="Calibri"/>
        </w:rPr>
      </w:pPr>
    </w:p>
    <w:p w14:paraId="00000033" w14:textId="77777777" w:rsidR="00C027A6" w:rsidRDefault="000B0392">
      <w:pPr>
        <w:spacing w:after="240" w:line="240" w:lineRule="auto"/>
        <w:rPr>
          <w:rFonts w:ascii="Calibri" w:eastAsia="Calibri" w:hAnsi="Calibri" w:cs="Calibri"/>
        </w:rPr>
      </w:pPr>
      <w:proofErr w:type="spellStart"/>
      <w:r>
        <w:rPr>
          <w:rFonts w:ascii="Calibri" w:eastAsia="Calibri" w:hAnsi="Calibri" w:cs="Calibri"/>
        </w:rPr>
        <w:t>Havik</w:t>
      </w:r>
      <w:proofErr w:type="spellEnd"/>
      <w:r>
        <w:rPr>
          <w:rFonts w:ascii="Calibri" w:eastAsia="Calibri" w:hAnsi="Calibri" w:cs="Calibri"/>
        </w:rPr>
        <w:t xml:space="preserve">, T., Bru, E., &amp; </w:t>
      </w:r>
      <w:proofErr w:type="spellStart"/>
      <w:r>
        <w:rPr>
          <w:rFonts w:ascii="Calibri" w:eastAsia="Calibri" w:hAnsi="Calibri" w:cs="Calibri"/>
        </w:rPr>
        <w:t>Ertesvåg</w:t>
      </w:r>
      <w:proofErr w:type="spellEnd"/>
      <w:r>
        <w:rPr>
          <w:rFonts w:ascii="Calibri" w:eastAsia="Calibri" w:hAnsi="Calibri" w:cs="Calibri"/>
        </w:rPr>
        <w:t xml:space="preserve">, S. K. (2015). School factors associated with school refusal-and truancy-related reasons for school non-attendance. </w:t>
      </w:r>
      <w:r>
        <w:rPr>
          <w:rFonts w:ascii="Calibri" w:eastAsia="Calibri" w:hAnsi="Calibri" w:cs="Calibri"/>
          <w:i/>
        </w:rPr>
        <w:t>Social Psychology of Education, 18</w:t>
      </w:r>
      <w:r>
        <w:rPr>
          <w:rFonts w:ascii="Calibri" w:eastAsia="Calibri" w:hAnsi="Calibri" w:cs="Calibri"/>
        </w:rPr>
        <w:t xml:space="preserve">(2), 221-240. </w:t>
      </w:r>
      <w:proofErr w:type="spellStart"/>
      <w:r>
        <w:rPr>
          <w:rFonts w:ascii="Calibri" w:eastAsia="Calibri" w:hAnsi="Calibri" w:cs="Calibri"/>
        </w:rPr>
        <w:t>doi</w:t>
      </w:r>
      <w:proofErr w:type="spellEnd"/>
      <w:r>
        <w:rPr>
          <w:rFonts w:ascii="Calibri" w:eastAsia="Calibri" w:hAnsi="Calibri" w:cs="Calibri"/>
        </w:rPr>
        <w:t xml:space="preserve">: </w:t>
      </w:r>
      <w:hyperlink r:id="rId6">
        <w:r>
          <w:rPr>
            <w:rFonts w:ascii="Calibri" w:eastAsia="Calibri" w:hAnsi="Calibri" w:cs="Calibri"/>
          </w:rPr>
          <w:t>https://doi.org/10.</w:t>
        </w:r>
        <w:r>
          <w:rPr>
            <w:rFonts w:ascii="Calibri" w:eastAsia="Calibri" w:hAnsi="Calibri" w:cs="Calibri"/>
          </w:rPr>
          <w:t>1007/s11218-015-9293-y</w:t>
        </w:r>
      </w:hyperlink>
      <w:r>
        <w:rPr>
          <w:rFonts w:ascii="Calibri" w:eastAsia="Calibri" w:hAnsi="Calibri" w:cs="Calibri"/>
        </w:rPr>
        <w:t xml:space="preserve">  </w:t>
      </w:r>
    </w:p>
    <w:p w14:paraId="00000034" w14:textId="77777777" w:rsidR="00C027A6" w:rsidRDefault="000B0392">
      <w:pPr>
        <w:spacing w:after="240" w:line="240" w:lineRule="auto"/>
        <w:rPr>
          <w:rFonts w:ascii="Calibri" w:eastAsia="Calibri" w:hAnsi="Calibri" w:cs="Calibri"/>
        </w:rPr>
      </w:pPr>
      <w:r>
        <w:rPr>
          <w:rFonts w:ascii="Calibri" w:eastAsia="Calibri" w:hAnsi="Calibri" w:cs="Calibri"/>
        </w:rPr>
        <w:t>McKay-Brown, L., McGrath, R., Dalton, L., Graham, L., Smith, A., Ring, J., &amp; Eyre, K. (2019). Reengagement with educati</w:t>
      </w:r>
      <w:r>
        <w:rPr>
          <w:rFonts w:ascii="Calibri" w:eastAsia="Calibri" w:hAnsi="Calibri" w:cs="Calibri"/>
        </w:rPr>
        <w:t xml:space="preserve">on: A multidisciplinary home-school-clinic approach developed in Australia for school-refusing youth. </w:t>
      </w:r>
      <w:r>
        <w:rPr>
          <w:rFonts w:ascii="Calibri" w:eastAsia="Calibri" w:hAnsi="Calibri" w:cs="Calibri"/>
          <w:i/>
        </w:rPr>
        <w:t>Cognitive And Behavioral Practice, 26</w:t>
      </w:r>
      <w:r>
        <w:rPr>
          <w:rFonts w:ascii="Calibri" w:eastAsia="Calibri" w:hAnsi="Calibri" w:cs="Calibri"/>
        </w:rPr>
        <w:t xml:space="preserve">(1), 92-106. </w:t>
      </w:r>
    </w:p>
    <w:p w14:paraId="00000035" w14:textId="77777777" w:rsidR="00C027A6" w:rsidRDefault="000B0392">
      <w:pPr>
        <w:spacing w:after="240" w:line="240" w:lineRule="auto"/>
        <w:rPr>
          <w:rFonts w:ascii="Calibri" w:eastAsia="Calibri" w:hAnsi="Calibri" w:cs="Calibri"/>
        </w:rPr>
      </w:pPr>
      <w:proofErr w:type="spellStart"/>
      <w:r>
        <w:rPr>
          <w:rFonts w:ascii="Calibri" w:eastAsia="Calibri" w:hAnsi="Calibri" w:cs="Calibri"/>
        </w:rPr>
        <w:t>Rothery</w:t>
      </w:r>
      <w:proofErr w:type="spellEnd"/>
      <w:r>
        <w:rPr>
          <w:rFonts w:ascii="Calibri" w:eastAsia="Calibri" w:hAnsi="Calibri" w:cs="Calibri"/>
        </w:rPr>
        <w:t xml:space="preserve">, M. (2007). Critical ecological systems theory. In P. Lehmann &amp; N. </w:t>
      </w:r>
      <w:proofErr w:type="spellStart"/>
      <w:r>
        <w:rPr>
          <w:rFonts w:ascii="Calibri" w:eastAsia="Calibri" w:hAnsi="Calibri" w:cs="Calibri"/>
        </w:rPr>
        <w:t>Coady</w:t>
      </w:r>
      <w:proofErr w:type="spellEnd"/>
      <w:r>
        <w:rPr>
          <w:rFonts w:ascii="Calibri" w:eastAsia="Calibri" w:hAnsi="Calibri" w:cs="Calibri"/>
        </w:rPr>
        <w:t xml:space="preserve"> (Eds.), </w:t>
      </w:r>
      <w:r>
        <w:rPr>
          <w:rFonts w:ascii="Calibri" w:eastAsia="Calibri" w:hAnsi="Calibri" w:cs="Calibri"/>
          <w:i/>
        </w:rPr>
        <w:t>Theoretical pe</w:t>
      </w:r>
      <w:r>
        <w:rPr>
          <w:rFonts w:ascii="Calibri" w:eastAsia="Calibri" w:hAnsi="Calibri" w:cs="Calibri"/>
          <w:i/>
        </w:rPr>
        <w:t xml:space="preserve">rspectives for direct social work </w:t>
      </w:r>
      <w:proofErr w:type="gramStart"/>
      <w:r>
        <w:rPr>
          <w:rFonts w:ascii="Calibri" w:eastAsia="Calibri" w:hAnsi="Calibri" w:cs="Calibri"/>
          <w:i/>
        </w:rPr>
        <w:t>practice :</w:t>
      </w:r>
      <w:proofErr w:type="gramEnd"/>
      <w:r>
        <w:rPr>
          <w:rFonts w:ascii="Calibri" w:eastAsia="Calibri" w:hAnsi="Calibri" w:cs="Calibri"/>
          <w:i/>
        </w:rPr>
        <w:t xml:space="preserve"> a generalist-eclectic approach</w:t>
      </w:r>
      <w:r>
        <w:rPr>
          <w:rFonts w:ascii="Calibri" w:eastAsia="Calibri" w:hAnsi="Calibri" w:cs="Calibri"/>
        </w:rPr>
        <w:t xml:space="preserve"> (pp. 89-118). New York: Springer Publishing Company.</w:t>
      </w:r>
    </w:p>
    <w:p w14:paraId="00000036" w14:textId="77777777" w:rsidR="00C027A6" w:rsidRDefault="000B0392">
      <w:pPr>
        <w:spacing w:line="240" w:lineRule="auto"/>
        <w:rPr>
          <w:rFonts w:ascii="Calibri" w:eastAsia="Calibri" w:hAnsi="Calibri" w:cs="Calibri"/>
        </w:rPr>
      </w:pPr>
      <w:r>
        <w:rPr>
          <w:rFonts w:ascii="Calibri" w:eastAsia="Calibri" w:hAnsi="Calibri" w:cs="Calibri"/>
        </w:rPr>
        <w:t xml:space="preserve">Spence, S. H., Donovan, C., &amp; </w:t>
      </w:r>
      <w:proofErr w:type="spellStart"/>
      <w:r>
        <w:rPr>
          <w:rFonts w:ascii="Calibri" w:eastAsia="Calibri" w:hAnsi="Calibri" w:cs="Calibri"/>
        </w:rPr>
        <w:t>Brechman</w:t>
      </w:r>
      <w:proofErr w:type="spellEnd"/>
      <w:r>
        <w:rPr>
          <w:rFonts w:ascii="Calibri" w:eastAsia="Calibri" w:hAnsi="Calibri" w:cs="Calibri"/>
        </w:rPr>
        <w:t>-Toussaint, M. (1999). Social skills, social outcomes, and cognitive features of childhoo</w:t>
      </w:r>
      <w:r>
        <w:rPr>
          <w:rFonts w:ascii="Calibri" w:eastAsia="Calibri" w:hAnsi="Calibri" w:cs="Calibri"/>
        </w:rPr>
        <w:t xml:space="preserve">d social phobia. </w:t>
      </w:r>
      <w:r>
        <w:rPr>
          <w:rFonts w:ascii="Calibri" w:eastAsia="Calibri" w:hAnsi="Calibri" w:cs="Calibri"/>
          <w:i/>
        </w:rPr>
        <w:t>Journal of Abnormal Psychology, 108</w:t>
      </w:r>
      <w:r>
        <w:rPr>
          <w:rFonts w:ascii="Calibri" w:eastAsia="Calibri" w:hAnsi="Calibri" w:cs="Calibri"/>
        </w:rPr>
        <w:t xml:space="preserve">(2), 211-221. doi:10.1037/0021-843X.108.2.211 </w:t>
      </w:r>
    </w:p>
    <w:p w14:paraId="00000037" w14:textId="77777777" w:rsidR="00C027A6" w:rsidRDefault="00C027A6">
      <w:pPr>
        <w:rPr>
          <w:rFonts w:ascii="Calibri" w:eastAsia="Calibri" w:hAnsi="Calibri" w:cs="Calibri"/>
        </w:rPr>
      </w:pPr>
    </w:p>
    <w:p w14:paraId="00000038" w14:textId="77777777" w:rsidR="00C027A6" w:rsidRDefault="00C027A6">
      <w:pPr>
        <w:rPr>
          <w:rFonts w:ascii="Calibri" w:eastAsia="Calibri" w:hAnsi="Calibri" w:cs="Calibri"/>
        </w:rPr>
      </w:pPr>
    </w:p>
    <w:sectPr w:rsidR="00C027A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7A6"/>
    <w:rsid w:val="0006298E"/>
    <w:rsid w:val="000B0392"/>
    <w:rsid w:val="00C027A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C7D8171"/>
  <w15:docId w15:val="{23744DF8-FD3E-7E40-980C-DBA8D981D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1218-015-9293-y" TargetMode="External"/><Relationship Id="rId5" Type="http://schemas.openxmlformats.org/officeDocument/2006/relationships/hyperlink" Target="mailto:abiri066@uottawa.ca" TargetMode="External"/><Relationship Id="rId4" Type="http://schemas.openxmlformats.org/officeDocument/2006/relationships/hyperlink" Target="https://findanexpert.unimelb.edu.au/profile/97930-lisa-mckay-br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1658</Words>
  <Characters>9451</Characters>
  <Application>Microsoft Office Word</Application>
  <DocSecurity>0</DocSecurity>
  <Lines>78</Lines>
  <Paragraphs>22</Paragraphs>
  <ScaleCrop>false</ScaleCrop>
  <Company/>
  <LinksUpToDate>false</LinksUpToDate>
  <CharactersWithSpaces>11087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Lisa McKay-Brown</cp:lastModifiedBy>
  <cp:revision>2</cp:revision>
  <dcterms:created xsi:type="dcterms:W3CDTF">2022-06-24T03:40:00Z</dcterms:created>
  <dcterms:modified xsi:type="dcterms:W3CDTF">2022-06-24T03:40:00Z</dcterms:modified>
</cp:coreProperties>
</file>