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02697F" w14:textId="1A873C06" w:rsidR="00526B9C" w:rsidRPr="00063314" w:rsidRDefault="00543F23" w:rsidP="002A6A9D">
      <w:pPr>
        <w:jc w:val="center"/>
        <w:rPr>
          <w:rFonts w:ascii="Arial" w:hAnsi="Arial" w:cs="Arial"/>
          <w:i/>
          <w:sz w:val="32"/>
          <w:szCs w:val="32"/>
        </w:rPr>
      </w:pPr>
      <w:r w:rsidRPr="00063314">
        <w:rPr>
          <w:rFonts w:ascii="Arial" w:hAnsi="Arial" w:cs="Arial"/>
          <w:sz w:val="32"/>
          <w:szCs w:val="32"/>
        </w:rPr>
        <w:t xml:space="preserve">Part 3-1, </w:t>
      </w:r>
      <w:r w:rsidR="00055852" w:rsidRPr="00063314">
        <w:rPr>
          <w:rFonts w:ascii="Arial" w:hAnsi="Arial" w:cs="Arial"/>
          <w:sz w:val="32"/>
          <w:szCs w:val="32"/>
        </w:rPr>
        <w:t>adverse action and equality</w:t>
      </w:r>
    </w:p>
    <w:p w14:paraId="32026980" w14:textId="77777777" w:rsidR="00526B9C" w:rsidRPr="00063314" w:rsidRDefault="00543F23" w:rsidP="002A6A9D">
      <w:pPr>
        <w:jc w:val="center"/>
        <w:rPr>
          <w:rFonts w:ascii="Arial" w:hAnsi="Arial" w:cs="Arial"/>
          <w:i/>
          <w:sz w:val="28"/>
          <w:szCs w:val="28"/>
        </w:rPr>
      </w:pPr>
      <w:r w:rsidRPr="00063314">
        <w:rPr>
          <w:rFonts w:ascii="Arial" w:hAnsi="Arial" w:cs="Arial"/>
          <w:i/>
          <w:sz w:val="28"/>
          <w:szCs w:val="28"/>
        </w:rPr>
        <w:t>Anna Chapman*</w:t>
      </w:r>
    </w:p>
    <w:p w14:paraId="32026981" w14:textId="77777777" w:rsidR="00526B9C" w:rsidRPr="002A6A9D" w:rsidRDefault="00526B9C" w:rsidP="002A6A9D">
      <w:pPr>
        <w:jc w:val="both"/>
        <w:rPr>
          <w:rFonts w:ascii="Arial" w:hAnsi="Arial" w:cs="Arial"/>
        </w:rPr>
      </w:pPr>
    </w:p>
    <w:p w14:paraId="32026982" w14:textId="77777777" w:rsidR="00526B9C" w:rsidRPr="00063314" w:rsidRDefault="00543F23" w:rsidP="002A6A9D">
      <w:pPr>
        <w:ind w:left="567" w:right="567"/>
        <w:jc w:val="both"/>
        <w:rPr>
          <w:rFonts w:ascii="Arial" w:hAnsi="Arial" w:cs="Arial"/>
          <w:b/>
          <w:i/>
          <w:sz w:val="24"/>
          <w:szCs w:val="24"/>
        </w:rPr>
      </w:pPr>
      <w:r w:rsidRPr="00063314">
        <w:rPr>
          <w:rFonts w:ascii="Arial" w:hAnsi="Arial" w:cs="Arial"/>
          <w:i/>
          <w:sz w:val="24"/>
          <w:szCs w:val="24"/>
        </w:rPr>
        <w:t xml:space="preserve">This article examines the extent to which the ‘adverse action’ provisions in Part 3-1 of the Fair Work Act 2009 (Cth) provide effective protection in relation to two central, but as yet unexplored, issues of equality: reasonable accommodation in relation to attributes including disability and family or carer’s responsibilities, and sexual harassment. It concludes that Part 3-1 is deficient in relation to both these </w:t>
      </w:r>
      <w:proofErr w:type="gramStart"/>
      <w:r w:rsidRPr="00063314">
        <w:rPr>
          <w:rFonts w:ascii="Arial" w:hAnsi="Arial" w:cs="Arial"/>
          <w:i/>
          <w:sz w:val="24"/>
          <w:szCs w:val="24"/>
        </w:rPr>
        <w:t>matters, and</w:t>
      </w:r>
      <w:proofErr w:type="gramEnd"/>
      <w:r w:rsidRPr="00063314">
        <w:rPr>
          <w:rFonts w:ascii="Arial" w:hAnsi="Arial" w:cs="Arial"/>
          <w:i/>
          <w:sz w:val="24"/>
          <w:szCs w:val="24"/>
        </w:rPr>
        <w:t xml:space="preserve"> requires legislative amendment.</w:t>
      </w:r>
    </w:p>
    <w:p w14:paraId="32026983" w14:textId="77777777" w:rsidR="00526B9C" w:rsidRPr="002A6A9D" w:rsidRDefault="00526B9C" w:rsidP="002A6A9D">
      <w:pPr>
        <w:jc w:val="both"/>
        <w:rPr>
          <w:rFonts w:ascii="Arial" w:hAnsi="Arial" w:cs="Arial"/>
          <w:b/>
        </w:rPr>
      </w:pPr>
    </w:p>
    <w:p w14:paraId="32026984" w14:textId="5C0D0422" w:rsidR="00526B9C" w:rsidRPr="00063314" w:rsidRDefault="00543F23" w:rsidP="002A6A9D">
      <w:pPr>
        <w:jc w:val="both"/>
        <w:rPr>
          <w:rFonts w:ascii="Times New Roman" w:hAnsi="Times New Roman" w:cs="Times New Roman"/>
          <w:sz w:val="24"/>
          <w:szCs w:val="24"/>
        </w:rPr>
      </w:pPr>
      <w:r w:rsidRPr="00063314">
        <w:rPr>
          <w:rFonts w:ascii="Times New Roman" w:hAnsi="Times New Roman" w:cs="Times New Roman"/>
          <w:sz w:val="24"/>
          <w:szCs w:val="24"/>
        </w:rPr>
        <w:t>The ‘adverse action’ provisions in Part 3-1 of the Fair Work Act 2009 (Cth) (F</w:t>
      </w:r>
      <w:r w:rsidR="00AE6ADD" w:rsidRPr="00063314">
        <w:rPr>
          <w:rFonts w:ascii="Times New Roman" w:hAnsi="Times New Roman" w:cs="Times New Roman"/>
          <w:sz w:val="24"/>
          <w:szCs w:val="24"/>
        </w:rPr>
        <w:t>W Act</w:t>
      </w:r>
      <w:r w:rsidRPr="00063314">
        <w:rPr>
          <w:rFonts w:ascii="Times New Roman" w:hAnsi="Times New Roman" w:cs="Times New Roman"/>
          <w:sz w:val="24"/>
          <w:szCs w:val="24"/>
        </w:rPr>
        <w:t xml:space="preserve">) provide a mechanism that enables workers to seek redress in relation to unfair conduct. The main objects clause in the Act refers to </w:t>
      </w:r>
      <w:r w:rsidRPr="00063314">
        <w:rPr>
          <w:rFonts w:ascii="Times New Roman" w:hAnsi="Times New Roman" w:cs="Times New Roman"/>
          <w:sz w:val="24"/>
          <w:szCs w:val="24"/>
          <w:lang w:val="en-US"/>
        </w:rPr>
        <w:t>‘</w:t>
      </w:r>
      <w:r w:rsidRPr="00063314">
        <w:rPr>
          <w:rFonts w:ascii="Times New Roman" w:hAnsi="Times New Roman" w:cs="Times New Roman"/>
          <w:sz w:val="24"/>
          <w:szCs w:val="24"/>
        </w:rPr>
        <w:t>the prevention of discrimination’ and ‘protecting against unfair treatment and discrimination’,</w:t>
      </w:r>
      <w:r w:rsidRPr="00063314">
        <w:rPr>
          <w:rStyle w:val="FootnoteReference"/>
          <w:rFonts w:ascii="Times New Roman" w:hAnsi="Times New Roman" w:cs="Times New Roman"/>
          <w:sz w:val="24"/>
          <w:szCs w:val="24"/>
        </w:rPr>
        <w:footnoteReference w:id="1"/>
      </w:r>
      <w:r w:rsidRPr="00063314">
        <w:rPr>
          <w:rFonts w:ascii="Times New Roman" w:hAnsi="Times New Roman" w:cs="Times New Roman"/>
          <w:sz w:val="24"/>
          <w:szCs w:val="24"/>
        </w:rPr>
        <w:t xml:space="preserve"> and the Act states that an object of Part 3-1, is to ‘provide protection from workplace discrimination’, and ‘to provide effective relief for persons who have been discriminated against, victimised or otherwise adversely affected as a result of contraventions of this Part’.</w:t>
      </w:r>
      <w:r w:rsidRPr="00063314">
        <w:rPr>
          <w:rStyle w:val="FootnoteReference"/>
          <w:rFonts w:ascii="Times New Roman" w:hAnsi="Times New Roman" w:cs="Times New Roman"/>
          <w:sz w:val="24"/>
          <w:szCs w:val="24"/>
        </w:rPr>
        <w:footnoteReference w:id="2"/>
      </w:r>
      <w:r w:rsidRPr="00063314">
        <w:rPr>
          <w:rFonts w:ascii="Times New Roman" w:hAnsi="Times New Roman" w:cs="Times New Roman"/>
          <w:sz w:val="24"/>
          <w:szCs w:val="24"/>
        </w:rPr>
        <w:t xml:space="preserve"> All this legislative language speaks of preventing and remedying discrimination; it does not name the concept of equality (or inequality) at all, and specifically that the achievement of equality is an objective of Part 3-1.</w:t>
      </w:r>
      <w:r w:rsidRPr="00063314">
        <w:rPr>
          <w:rStyle w:val="FootnoteReference"/>
          <w:rFonts w:ascii="Times New Roman" w:hAnsi="Times New Roman" w:cs="Times New Roman"/>
          <w:sz w:val="24"/>
          <w:szCs w:val="24"/>
        </w:rPr>
        <w:footnoteReference w:id="3"/>
      </w:r>
      <w:r w:rsidRPr="00063314">
        <w:rPr>
          <w:rFonts w:ascii="Times New Roman" w:hAnsi="Times New Roman" w:cs="Times New Roman"/>
          <w:sz w:val="24"/>
          <w:szCs w:val="24"/>
        </w:rPr>
        <w:t xml:space="preserve"> </w:t>
      </w:r>
    </w:p>
    <w:p w14:paraId="32026985" w14:textId="36D56B48" w:rsidR="00526B9C" w:rsidRPr="00063314" w:rsidRDefault="00543F23" w:rsidP="002A6A9D">
      <w:pPr>
        <w:jc w:val="both"/>
        <w:rPr>
          <w:rFonts w:ascii="Times New Roman" w:hAnsi="Times New Roman" w:cs="Times New Roman"/>
          <w:sz w:val="24"/>
          <w:szCs w:val="24"/>
        </w:rPr>
      </w:pPr>
      <w:r w:rsidRPr="00063314">
        <w:rPr>
          <w:rFonts w:ascii="Times New Roman" w:hAnsi="Times New Roman" w:cs="Times New Roman"/>
          <w:sz w:val="24"/>
          <w:szCs w:val="24"/>
        </w:rPr>
        <w:t>The concept of equality is an overarching principle in the fundamental rights and freedoms of decent work articulated by the International Labour Organization (ILO).</w:t>
      </w:r>
      <w:r w:rsidRPr="00063314">
        <w:rPr>
          <w:rStyle w:val="FootnoteReference"/>
          <w:rFonts w:ascii="Times New Roman" w:hAnsi="Times New Roman" w:cs="Times New Roman"/>
          <w:sz w:val="24"/>
          <w:szCs w:val="24"/>
        </w:rPr>
        <w:footnoteReference w:id="4"/>
      </w:r>
      <w:r w:rsidRPr="00063314">
        <w:rPr>
          <w:rFonts w:ascii="Times New Roman" w:hAnsi="Times New Roman" w:cs="Times New Roman"/>
          <w:sz w:val="24"/>
          <w:szCs w:val="24"/>
        </w:rPr>
        <w:t xml:space="preserve"> It has been described as a fundamental value underpinning liberal democratic societies including Australia, albeit that it is of unsettled meaning.</w:t>
      </w:r>
      <w:r w:rsidRPr="00063314">
        <w:rPr>
          <w:rStyle w:val="FootnoteReference"/>
          <w:rFonts w:ascii="Times New Roman" w:hAnsi="Times New Roman" w:cs="Times New Roman"/>
          <w:sz w:val="24"/>
          <w:szCs w:val="24"/>
        </w:rPr>
        <w:footnoteReference w:id="5"/>
      </w:r>
      <w:r w:rsidRPr="00063314">
        <w:rPr>
          <w:rFonts w:ascii="Times New Roman" w:hAnsi="Times New Roman" w:cs="Times New Roman"/>
          <w:sz w:val="24"/>
          <w:szCs w:val="24"/>
        </w:rPr>
        <w:t xml:space="preserve"> The idea of equality takes on a range of meanings in different contexts, and understandings of equality have developed over the years. Formal equality is often seen as presenting a goal of same, or consistent, treatment. In the work context this is the ideal that an employer ought to treat all workers the same, regardless of their sex, race, disability, pregnancy, or care responsibilities, for example. Clearly this approach has limited transformative potential because people are not similarly placed in relation to the organisation of workplaces and work relations. The structures and cultures of organisations are not neutral; they are built on and continue a legacy of normative understandings of the worker and standard work arrangement.</w:t>
      </w:r>
      <w:r w:rsidRPr="00063314">
        <w:rPr>
          <w:rStyle w:val="FootnoteReference"/>
          <w:rFonts w:ascii="Times New Roman" w:hAnsi="Times New Roman" w:cs="Times New Roman"/>
          <w:sz w:val="24"/>
          <w:szCs w:val="24"/>
        </w:rPr>
        <w:footnoteReference w:id="6"/>
      </w:r>
      <w:r w:rsidRPr="00063314">
        <w:rPr>
          <w:rFonts w:ascii="Times New Roman" w:hAnsi="Times New Roman" w:cs="Times New Roman"/>
          <w:sz w:val="24"/>
          <w:szCs w:val="24"/>
        </w:rPr>
        <w:t xml:space="preserve"> Taking account of difference</w:t>
      </w:r>
      <w:r w:rsidR="00184F1C" w:rsidRPr="00063314">
        <w:rPr>
          <w:rFonts w:ascii="Times New Roman" w:hAnsi="Times New Roman" w:cs="Times New Roman"/>
          <w:sz w:val="24"/>
          <w:szCs w:val="24"/>
        </w:rPr>
        <w:t>s</w:t>
      </w:r>
      <w:r w:rsidRPr="00063314">
        <w:rPr>
          <w:rFonts w:ascii="Times New Roman" w:hAnsi="Times New Roman" w:cs="Times New Roman"/>
          <w:sz w:val="24"/>
          <w:szCs w:val="24"/>
        </w:rPr>
        <w:t xml:space="preserve"> in relation to those norms </w:t>
      </w:r>
      <w:r w:rsidRPr="00063314">
        <w:rPr>
          <w:rFonts w:ascii="Times New Roman" w:hAnsi="Times New Roman" w:cs="Times New Roman"/>
          <w:sz w:val="24"/>
          <w:szCs w:val="24"/>
        </w:rPr>
        <w:lastRenderedPageBreak/>
        <w:t>is needed in order to ensure that equality in a real or substantive sense is realisable.</w:t>
      </w:r>
      <w:r w:rsidRPr="00063314">
        <w:rPr>
          <w:rStyle w:val="FootnoteReference"/>
          <w:rFonts w:ascii="Times New Roman" w:hAnsi="Times New Roman" w:cs="Times New Roman"/>
          <w:sz w:val="24"/>
          <w:szCs w:val="24"/>
        </w:rPr>
        <w:t xml:space="preserve"> </w:t>
      </w:r>
      <w:r w:rsidRPr="00063314">
        <w:rPr>
          <w:rFonts w:ascii="Times New Roman" w:hAnsi="Times New Roman" w:cs="Times New Roman"/>
          <w:sz w:val="24"/>
          <w:szCs w:val="24"/>
        </w:rPr>
        <w:t xml:space="preserve"> The ILO speaks of this as ‘de facto’ equality, rather than merely ‘de jure’ formal legal equality.</w:t>
      </w:r>
      <w:r w:rsidRPr="00063314">
        <w:rPr>
          <w:rStyle w:val="FootnoteReference"/>
          <w:rFonts w:ascii="Times New Roman" w:hAnsi="Times New Roman" w:cs="Times New Roman"/>
          <w:sz w:val="24"/>
          <w:szCs w:val="24"/>
        </w:rPr>
        <w:t xml:space="preserve"> </w:t>
      </w:r>
      <w:r w:rsidRPr="00063314">
        <w:rPr>
          <w:rStyle w:val="FootnoteReference"/>
          <w:rFonts w:ascii="Times New Roman" w:hAnsi="Times New Roman" w:cs="Times New Roman"/>
          <w:sz w:val="24"/>
          <w:szCs w:val="24"/>
        </w:rPr>
        <w:footnoteReference w:id="7"/>
      </w:r>
      <w:r w:rsidRPr="00063314">
        <w:rPr>
          <w:rFonts w:ascii="Times New Roman" w:hAnsi="Times New Roman" w:cs="Times New Roman"/>
          <w:sz w:val="24"/>
          <w:szCs w:val="24"/>
        </w:rPr>
        <w:t xml:space="preserve"> </w:t>
      </w:r>
    </w:p>
    <w:p w14:paraId="32026986" w14:textId="77777777" w:rsidR="00526B9C" w:rsidRPr="00063314" w:rsidRDefault="00543F23" w:rsidP="002A6A9D">
      <w:pPr>
        <w:jc w:val="both"/>
        <w:rPr>
          <w:rFonts w:ascii="Times New Roman" w:hAnsi="Times New Roman" w:cs="Times New Roman"/>
          <w:sz w:val="24"/>
          <w:szCs w:val="24"/>
        </w:rPr>
      </w:pPr>
      <w:r w:rsidRPr="00063314">
        <w:rPr>
          <w:rFonts w:ascii="Times New Roman" w:hAnsi="Times New Roman" w:cs="Times New Roman"/>
          <w:sz w:val="24"/>
          <w:szCs w:val="24"/>
        </w:rPr>
        <w:t>Existing scholarship reveals various interlocking ways in which the ‘adverse action’ provisions in Part 3-1 are not equality-enlivening in a substantive sense. More recent scholarship has focused on interpretations by courts of the concept of discrimination located in Part 3-1, the discriminatory attributes listed in s 351(1) (in Part 3-1), and how the High Court has interpreted the onus of proof in Part 3-1.</w:t>
      </w:r>
      <w:r w:rsidRPr="00063314">
        <w:rPr>
          <w:rStyle w:val="FootnoteReference"/>
          <w:rFonts w:ascii="Times New Roman" w:hAnsi="Times New Roman" w:cs="Times New Roman"/>
          <w:sz w:val="24"/>
          <w:szCs w:val="24"/>
        </w:rPr>
        <w:footnoteReference w:id="8"/>
      </w:r>
      <w:r w:rsidRPr="00063314">
        <w:rPr>
          <w:rFonts w:ascii="Times New Roman" w:hAnsi="Times New Roman" w:cs="Times New Roman"/>
          <w:sz w:val="24"/>
          <w:szCs w:val="24"/>
        </w:rPr>
        <w:t xml:space="preserve"> The use of the ‘workplace rights’ ground in Part 3-1 by new parents and pregnant women subjected to unfavourable treatment, has also been examined.</w:t>
      </w:r>
      <w:r w:rsidRPr="00063314">
        <w:rPr>
          <w:rStyle w:val="FootnoteReference"/>
          <w:rFonts w:ascii="Times New Roman" w:hAnsi="Times New Roman" w:cs="Times New Roman"/>
          <w:sz w:val="24"/>
          <w:szCs w:val="24"/>
        </w:rPr>
        <w:footnoteReference w:id="9"/>
      </w:r>
      <w:r w:rsidRPr="00063314">
        <w:rPr>
          <w:rFonts w:ascii="Times New Roman" w:hAnsi="Times New Roman" w:cs="Times New Roman"/>
          <w:sz w:val="24"/>
          <w:szCs w:val="24"/>
        </w:rPr>
        <w:t xml:space="preserve"> The existing body of literature highlights the thin drafting of the legislative framework, and unpacks the narrow judicial interpretations of key concepts, and suggests reasons why Part 3-1 has been so disappointing from an equality perspective.</w:t>
      </w:r>
      <w:r w:rsidRPr="00063314">
        <w:rPr>
          <w:rStyle w:val="FootnoteReference"/>
          <w:rFonts w:ascii="Times New Roman" w:hAnsi="Times New Roman" w:cs="Times New Roman"/>
          <w:sz w:val="24"/>
          <w:szCs w:val="24"/>
        </w:rPr>
        <w:footnoteReference w:id="10"/>
      </w:r>
    </w:p>
    <w:p w14:paraId="32026987" w14:textId="6B811A19" w:rsidR="00526B9C" w:rsidRPr="00063314" w:rsidRDefault="00543F23" w:rsidP="002A6A9D">
      <w:pPr>
        <w:jc w:val="both"/>
        <w:rPr>
          <w:rFonts w:ascii="Times New Roman" w:hAnsi="Times New Roman" w:cs="Times New Roman"/>
          <w:sz w:val="24"/>
          <w:szCs w:val="24"/>
        </w:rPr>
      </w:pPr>
      <w:r w:rsidRPr="00063314">
        <w:rPr>
          <w:rFonts w:ascii="Times New Roman" w:hAnsi="Times New Roman" w:cs="Times New Roman"/>
          <w:sz w:val="24"/>
          <w:szCs w:val="24"/>
        </w:rPr>
        <w:t>This article builds on existing literature to examine some key matters that have not been explored in depth in the scholarship to date, but that have arisen in the case law and form core requirements in any set of discrimination protections seeking to generate equality in a substantive, or de facto, sense. Those matters are the question of whether the ‘adverse action’ provisions impose an obligation on employers to provide adjustment or accommodation in work arrangements for workers with disability,</w:t>
      </w:r>
      <w:r w:rsidRPr="00063314">
        <w:rPr>
          <w:rStyle w:val="FootnoteReference"/>
          <w:rFonts w:ascii="Times New Roman" w:hAnsi="Times New Roman" w:cs="Times New Roman"/>
          <w:sz w:val="24"/>
          <w:szCs w:val="24"/>
        </w:rPr>
        <w:footnoteReference w:id="11"/>
      </w:r>
      <w:r w:rsidRPr="00063314">
        <w:rPr>
          <w:rFonts w:ascii="Times New Roman" w:hAnsi="Times New Roman" w:cs="Times New Roman"/>
          <w:sz w:val="24"/>
          <w:szCs w:val="24"/>
        </w:rPr>
        <w:t xml:space="preserve"> and the extent to which the legislation provides redress in relation to sexual harassment and harassment based on attributes such as race or disability.</w:t>
      </w:r>
      <w:r w:rsidRPr="00063314">
        <w:rPr>
          <w:rStyle w:val="FootnoteReference"/>
          <w:rFonts w:ascii="Times New Roman" w:hAnsi="Times New Roman" w:cs="Times New Roman"/>
          <w:sz w:val="24"/>
          <w:szCs w:val="24"/>
        </w:rPr>
        <w:footnoteReference w:id="12"/>
      </w:r>
      <w:r w:rsidRPr="00063314">
        <w:rPr>
          <w:rFonts w:ascii="Times New Roman" w:hAnsi="Times New Roman" w:cs="Times New Roman"/>
          <w:sz w:val="24"/>
          <w:szCs w:val="24"/>
        </w:rPr>
        <w:t xml:space="preserve"> Employer liability under Part 3-1 for harassing behaviour in the workplace is of central importance to the agenda of equality, and for this reason is also explored. The article points to amendments that ought to be made to the FW</w:t>
      </w:r>
      <w:r w:rsidR="00F13FC4" w:rsidRPr="00063314">
        <w:rPr>
          <w:rFonts w:ascii="Times New Roman" w:hAnsi="Times New Roman" w:cs="Times New Roman"/>
          <w:sz w:val="24"/>
          <w:szCs w:val="24"/>
        </w:rPr>
        <w:t xml:space="preserve"> </w:t>
      </w:r>
      <w:r w:rsidRPr="00063314">
        <w:rPr>
          <w:rFonts w:ascii="Times New Roman" w:hAnsi="Times New Roman" w:cs="Times New Roman"/>
          <w:sz w:val="24"/>
          <w:szCs w:val="24"/>
        </w:rPr>
        <w:t>A</w:t>
      </w:r>
      <w:r w:rsidR="00F13FC4" w:rsidRPr="00063314">
        <w:rPr>
          <w:rFonts w:ascii="Times New Roman" w:hAnsi="Times New Roman" w:cs="Times New Roman"/>
          <w:sz w:val="24"/>
          <w:szCs w:val="24"/>
        </w:rPr>
        <w:t>ct</w:t>
      </w:r>
      <w:r w:rsidRPr="00063314">
        <w:rPr>
          <w:rFonts w:ascii="Times New Roman" w:hAnsi="Times New Roman" w:cs="Times New Roman"/>
          <w:sz w:val="24"/>
          <w:szCs w:val="24"/>
        </w:rPr>
        <w:t xml:space="preserve"> in order to address the limitations of Part 3-1 as presently drafted on these matters. First though the article sets out the framework of the ‘adverse action’ protections in Part 3-1.</w:t>
      </w:r>
    </w:p>
    <w:p w14:paraId="71ED47E6" w14:textId="255695EF" w:rsidR="00B8181A" w:rsidRDefault="00B8181A" w:rsidP="002A6A9D">
      <w:pPr>
        <w:jc w:val="both"/>
        <w:rPr>
          <w:rFonts w:ascii="Arial" w:hAnsi="Arial" w:cs="Arial"/>
        </w:rPr>
      </w:pPr>
    </w:p>
    <w:p w14:paraId="05C2B903" w14:textId="1A404AA2" w:rsidR="00485A08" w:rsidRDefault="00485A08" w:rsidP="002A6A9D">
      <w:pPr>
        <w:jc w:val="both"/>
        <w:rPr>
          <w:rFonts w:ascii="Arial" w:hAnsi="Arial" w:cs="Arial"/>
        </w:rPr>
      </w:pPr>
    </w:p>
    <w:p w14:paraId="2F7BF894" w14:textId="77777777" w:rsidR="00485A08" w:rsidRPr="002A6A9D" w:rsidRDefault="00485A08" w:rsidP="002A6A9D">
      <w:pPr>
        <w:jc w:val="both"/>
        <w:rPr>
          <w:rFonts w:ascii="Arial" w:hAnsi="Arial" w:cs="Arial"/>
        </w:rPr>
      </w:pPr>
    </w:p>
    <w:p w14:paraId="1E9F1743" w14:textId="5F5D6660" w:rsidR="00B8181A" w:rsidRPr="002A6A9D" w:rsidRDefault="00543F23" w:rsidP="00BC2B25">
      <w:pPr>
        <w:jc w:val="center"/>
        <w:rPr>
          <w:rFonts w:ascii="Arial" w:hAnsi="Arial" w:cs="Arial"/>
        </w:rPr>
      </w:pPr>
      <w:r w:rsidRPr="00063314">
        <w:rPr>
          <w:rFonts w:ascii="Arial" w:hAnsi="Arial" w:cs="Arial"/>
          <w:b/>
          <w:sz w:val="28"/>
          <w:szCs w:val="28"/>
        </w:rPr>
        <w:t>The Framework of Adverse Action</w:t>
      </w:r>
    </w:p>
    <w:p w14:paraId="32026989" w14:textId="77777777" w:rsidR="00526B9C" w:rsidRPr="00063314" w:rsidRDefault="00543F23" w:rsidP="002A6A9D">
      <w:pPr>
        <w:spacing w:line="240" w:lineRule="auto"/>
        <w:jc w:val="both"/>
        <w:rPr>
          <w:rFonts w:ascii="Times New Roman" w:hAnsi="Times New Roman" w:cs="Times New Roman"/>
          <w:sz w:val="24"/>
          <w:szCs w:val="24"/>
        </w:rPr>
      </w:pPr>
      <w:r w:rsidRPr="00063314">
        <w:rPr>
          <w:rFonts w:ascii="Times New Roman" w:hAnsi="Times New Roman" w:cs="Times New Roman"/>
          <w:sz w:val="24"/>
          <w:szCs w:val="24"/>
        </w:rPr>
        <w:t>Part 3-1 establishes an avenue of redress for workers (and others) who have been subjected to ‘adverse action’ by their employer (and others).</w:t>
      </w:r>
      <w:r w:rsidRPr="00063314">
        <w:rPr>
          <w:rStyle w:val="FootnoteReference"/>
          <w:rFonts w:ascii="Times New Roman" w:hAnsi="Times New Roman" w:cs="Times New Roman"/>
          <w:sz w:val="24"/>
          <w:szCs w:val="24"/>
        </w:rPr>
        <w:footnoteReference w:id="13"/>
      </w:r>
      <w:r w:rsidRPr="00063314">
        <w:rPr>
          <w:rFonts w:ascii="Times New Roman" w:hAnsi="Times New Roman" w:cs="Times New Roman"/>
          <w:sz w:val="24"/>
          <w:szCs w:val="24"/>
        </w:rPr>
        <w:t xml:space="preserve"> Section 342(1) sets out the meaning and circumstances of ‘adverse action’: </w:t>
      </w:r>
    </w:p>
    <w:p w14:paraId="3202698A" w14:textId="77777777" w:rsidR="00526B9C" w:rsidRPr="00063314" w:rsidRDefault="00543F23" w:rsidP="002A6A9D">
      <w:pPr>
        <w:pStyle w:val="Quotation"/>
        <w:ind w:left="720"/>
        <w:rPr>
          <w:bCs/>
          <w:iCs w:val="0"/>
          <w:sz w:val="20"/>
          <w:szCs w:val="20"/>
          <w:lang w:eastAsia="en-AU"/>
        </w:rPr>
      </w:pPr>
      <w:bookmarkStart w:id="0" w:name="_Toc494463729"/>
      <w:proofErr w:type="gramStart"/>
      <w:r w:rsidRPr="00063314">
        <w:rPr>
          <w:bCs/>
          <w:iCs w:val="0"/>
          <w:sz w:val="20"/>
          <w:szCs w:val="20"/>
          <w:lang w:eastAsia="en-AU"/>
        </w:rPr>
        <w:t>342  Meaning</w:t>
      </w:r>
      <w:proofErr w:type="gramEnd"/>
      <w:r w:rsidRPr="00063314">
        <w:rPr>
          <w:bCs/>
          <w:iCs w:val="0"/>
          <w:sz w:val="20"/>
          <w:szCs w:val="20"/>
          <w:lang w:eastAsia="en-AU"/>
        </w:rPr>
        <w:t xml:space="preserve"> of adverse action</w:t>
      </w:r>
      <w:bookmarkEnd w:id="0"/>
    </w:p>
    <w:p w14:paraId="3202698B" w14:textId="77777777" w:rsidR="00526B9C" w:rsidRPr="00063314" w:rsidRDefault="00543F23" w:rsidP="002A6A9D">
      <w:pPr>
        <w:pStyle w:val="Quotation"/>
        <w:ind w:left="720"/>
        <w:rPr>
          <w:i w:val="0"/>
          <w:sz w:val="20"/>
          <w:szCs w:val="20"/>
          <w:lang w:eastAsia="en-AU"/>
        </w:rPr>
      </w:pPr>
      <w:r w:rsidRPr="00063314">
        <w:rPr>
          <w:i w:val="0"/>
          <w:sz w:val="20"/>
          <w:szCs w:val="20"/>
          <w:lang w:eastAsia="en-AU"/>
        </w:rPr>
        <w:t>(1)  The following table sets out circumstances in which a person takes </w:t>
      </w:r>
      <w:r w:rsidRPr="00BC2B25">
        <w:rPr>
          <w:iCs w:val="0"/>
          <w:sz w:val="20"/>
          <w:szCs w:val="20"/>
          <w:lang w:eastAsia="en-AU"/>
        </w:rPr>
        <w:t>adverse action</w:t>
      </w:r>
      <w:r w:rsidRPr="00063314">
        <w:rPr>
          <w:b/>
          <w:bCs/>
          <w:i w:val="0"/>
          <w:sz w:val="20"/>
          <w:szCs w:val="20"/>
          <w:lang w:eastAsia="en-AU"/>
        </w:rPr>
        <w:t xml:space="preserve"> </w:t>
      </w:r>
      <w:r w:rsidRPr="00063314">
        <w:rPr>
          <w:i w:val="0"/>
          <w:sz w:val="20"/>
          <w:szCs w:val="20"/>
          <w:lang w:eastAsia="en-AU"/>
        </w:rPr>
        <w:t>against another person.</w:t>
      </w:r>
    </w:p>
    <w:tbl>
      <w:tblPr>
        <w:tblW w:w="8820" w:type="dxa"/>
        <w:tblInd w:w="720" w:type="dxa"/>
        <w:tblCellMar>
          <w:left w:w="0" w:type="dxa"/>
          <w:right w:w="0" w:type="dxa"/>
        </w:tblCellMar>
        <w:tblLook w:val="04A0" w:firstRow="1" w:lastRow="0" w:firstColumn="1" w:lastColumn="0" w:noHBand="0" w:noVBand="1"/>
      </w:tblPr>
      <w:tblGrid>
        <w:gridCol w:w="655"/>
        <w:gridCol w:w="2640"/>
        <w:gridCol w:w="5525"/>
      </w:tblGrid>
      <w:tr w:rsidR="00526B9C" w:rsidRPr="00063314" w14:paraId="3202698D" w14:textId="77777777" w:rsidTr="004E78B2">
        <w:trPr>
          <w:tblHeader/>
        </w:trPr>
        <w:tc>
          <w:tcPr>
            <w:tcW w:w="8820" w:type="dxa"/>
            <w:gridSpan w:val="3"/>
            <w:tcBorders>
              <w:top w:val="single" w:sz="12" w:space="0" w:color="auto"/>
              <w:left w:val="nil"/>
              <w:bottom w:val="single" w:sz="8" w:space="0" w:color="auto"/>
              <w:right w:val="nil"/>
            </w:tcBorders>
            <w:shd w:val="clear" w:color="auto" w:fill="FFFFFF"/>
            <w:tcMar>
              <w:top w:w="0" w:type="dxa"/>
              <w:left w:w="108" w:type="dxa"/>
              <w:bottom w:w="0" w:type="dxa"/>
              <w:right w:w="108" w:type="dxa"/>
            </w:tcMar>
            <w:hideMark/>
          </w:tcPr>
          <w:p w14:paraId="3202698C" w14:textId="77777777" w:rsidR="00526B9C" w:rsidRPr="00063314" w:rsidRDefault="00543F23" w:rsidP="002A6A9D">
            <w:pPr>
              <w:spacing w:before="60" w:line="240" w:lineRule="atLeast"/>
              <w:jc w:val="both"/>
              <w:rPr>
                <w:rFonts w:ascii="Times New Roman" w:eastAsia="Times New Roman" w:hAnsi="Times New Roman" w:cs="Times New Roman"/>
                <w:i/>
                <w:iCs/>
                <w:color w:val="000000"/>
                <w:sz w:val="20"/>
                <w:szCs w:val="20"/>
                <w:lang w:eastAsia="en-AU"/>
              </w:rPr>
            </w:pPr>
            <w:r w:rsidRPr="00063314">
              <w:rPr>
                <w:rFonts w:ascii="Times New Roman" w:eastAsia="Times New Roman" w:hAnsi="Times New Roman" w:cs="Times New Roman"/>
                <w:i/>
                <w:iCs/>
                <w:color w:val="000000"/>
                <w:sz w:val="20"/>
                <w:szCs w:val="20"/>
                <w:lang w:eastAsia="en-AU"/>
              </w:rPr>
              <w:t>Meaning of adverse action</w:t>
            </w:r>
          </w:p>
        </w:tc>
      </w:tr>
      <w:tr w:rsidR="00526B9C" w:rsidRPr="00063314" w14:paraId="32026993" w14:textId="77777777" w:rsidTr="004E78B2">
        <w:trPr>
          <w:tblHeader/>
        </w:trPr>
        <w:tc>
          <w:tcPr>
            <w:tcW w:w="655" w:type="dxa"/>
            <w:tcBorders>
              <w:top w:val="nil"/>
              <w:left w:val="nil"/>
              <w:bottom w:val="single" w:sz="12" w:space="0" w:color="auto"/>
              <w:right w:val="nil"/>
            </w:tcBorders>
            <w:shd w:val="clear" w:color="auto" w:fill="FFFFFF"/>
            <w:tcMar>
              <w:top w:w="0" w:type="dxa"/>
              <w:left w:w="108" w:type="dxa"/>
              <w:bottom w:w="0" w:type="dxa"/>
              <w:right w:w="108" w:type="dxa"/>
            </w:tcMar>
            <w:hideMark/>
          </w:tcPr>
          <w:p w14:paraId="3202698E" w14:textId="77777777" w:rsidR="00526B9C" w:rsidRPr="00063314" w:rsidRDefault="00543F23" w:rsidP="002A6A9D">
            <w:pPr>
              <w:spacing w:before="60" w:line="240" w:lineRule="atLeast"/>
              <w:jc w:val="both"/>
              <w:rPr>
                <w:rFonts w:ascii="Times New Roman" w:eastAsia="Times New Roman" w:hAnsi="Times New Roman" w:cs="Times New Roman"/>
                <w:i/>
                <w:iCs/>
                <w:color w:val="000000"/>
                <w:sz w:val="20"/>
                <w:szCs w:val="20"/>
                <w:lang w:eastAsia="en-AU"/>
              </w:rPr>
            </w:pPr>
            <w:r w:rsidRPr="00063314">
              <w:rPr>
                <w:rFonts w:ascii="Times New Roman" w:eastAsia="Times New Roman" w:hAnsi="Times New Roman" w:cs="Times New Roman"/>
                <w:i/>
                <w:iCs/>
                <w:color w:val="000000"/>
                <w:sz w:val="20"/>
                <w:szCs w:val="20"/>
                <w:lang w:eastAsia="en-AU"/>
              </w:rPr>
              <w:t>Item</w:t>
            </w:r>
          </w:p>
        </w:tc>
        <w:tc>
          <w:tcPr>
            <w:tcW w:w="2640" w:type="dxa"/>
            <w:tcBorders>
              <w:top w:val="nil"/>
              <w:left w:val="nil"/>
              <w:bottom w:val="single" w:sz="12" w:space="0" w:color="auto"/>
              <w:right w:val="nil"/>
            </w:tcBorders>
            <w:shd w:val="clear" w:color="auto" w:fill="FFFFFF"/>
            <w:tcMar>
              <w:top w:w="0" w:type="dxa"/>
              <w:left w:w="108" w:type="dxa"/>
              <w:bottom w:w="0" w:type="dxa"/>
              <w:right w:w="108" w:type="dxa"/>
            </w:tcMar>
            <w:hideMark/>
          </w:tcPr>
          <w:p w14:paraId="3202698F" w14:textId="77777777" w:rsidR="00526B9C" w:rsidRPr="00063314" w:rsidRDefault="00543F23" w:rsidP="002A6A9D">
            <w:pPr>
              <w:spacing w:before="60" w:line="240" w:lineRule="atLeast"/>
              <w:jc w:val="both"/>
              <w:rPr>
                <w:rFonts w:ascii="Times New Roman" w:eastAsia="Times New Roman" w:hAnsi="Times New Roman" w:cs="Times New Roman"/>
                <w:i/>
                <w:iCs/>
                <w:color w:val="000000"/>
                <w:sz w:val="20"/>
                <w:szCs w:val="20"/>
                <w:lang w:eastAsia="en-AU"/>
              </w:rPr>
            </w:pPr>
            <w:r w:rsidRPr="00063314">
              <w:rPr>
                <w:rFonts w:ascii="Times New Roman" w:eastAsia="Times New Roman" w:hAnsi="Times New Roman" w:cs="Times New Roman"/>
                <w:i/>
                <w:iCs/>
                <w:color w:val="000000"/>
                <w:sz w:val="20"/>
                <w:szCs w:val="20"/>
                <w:lang w:eastAsia="en-AU"/>
              </w:rPr>
              <w:t>Column 1</w:t>
            </w:r>
          </w:p>
          <w:p w14:paraId="32026990" w14:textId="77777777" w:rsidR="00526B9C" w:rsidRPr="00063314" w:rsidRDefault="00543F23" w:rsidP="002A6A9D">
            <w:pPr>
              <w:spacing w:before="60" w:line="240" w:lineRule="atLeast"/>
              <w:jc w:val="both"/>
              <w:rPr>
                <w:rFonts w:ascii="Times New Roman" w:eastAsia="Times New Roman" w:hAnsi="Times New Roman" w:cs="Times New Roman"/>
                <w:i/>
                <w:iCs/>
                <w:color w:val="000000"/>
                <w:sz w:val="20"/>
                <w:szCs w:val="20"/>
                <w:lang w:eastAsia="en-AU"/>
              </w:rPr>
            </w:pPr>
            <w:r w:rsidRPr="00063314">
              <w:rPr>
                <w:rFonts w:ascii="Times New Roman" w:eastAsia="Times New Roman" w:hAnsi="Times New Roman" w:cs="Times New Roman"/>
                <w:i/>
                <w:iCs/>
                <w:color w:val="000000"/>
                <w:sz w:val="20"/>
                <w:szCs w:val="20"/>
                <w:lang w:eastAsia="en-AU"/>
              </w:rPr>
              <w:t>Adverse action is taken by ...</w:t>
            </w:r>
          </w:p>
        </w:tc>
        <w:tc>
          <w:tcPr>
            <w:tcW w:w="5525" w:type="dxa"/>
            <w:tcBorders>
              <w:top w:val="nil"/>
              <w:left w:val="nil"/>
              <w:bottom w:val="single" w:sz="12" w:space="0" w:color="auto"/>
              <w:right w:val="nil"/>
            </w:tcBorders>
            <w:shd w:val="clear" w:color="auto" w:fill="FFFFFF"/>
            <w:tcMar>
              <w:top w:w="0" w:type="dxa"/>
              <w:left w:w="108" w:type="dxa"/>
              <w:bottom w:w="0" w:type="dxa"/>
              <w:right w:w="108" w:type="dxa"/>
            </w:tcMar>
            <w:hideMark/>
          </w:tcPr>
          <w:p w14:paraId="32026991" w14:textId="77777777" w:rsidR="00526B9C" w:rsidRPr="00063314" w:rsidRDefault="00543F23" w:rsidP="002A6A9D">
            <w:pPr>
              <w:spacing w:before="60" w:line="240" w:lineRule="atLeast"/>
              <w:jc w:val="both"/>
              <w:rPr>
                <w:rFonts w:ascii="Times New Roman" w:eastAsia="Times New Roman" w:hAnsi="Times New Roman" w:cs="Times New Roman"/>
                <w:i/>
                <w:iCs/>
                <w:color w:val="000000"/>
                <w:sz w:val="20"/>
                <w:szCs w:val="20"/>
                <w:lang w:eastAsia="en-AU"/>
              </w:rPr>
            </w:pPr>
            <w:r w:rsidRPr="00063314">
              <w:rPr>
                <w:rFonts w:ascii="Times New Roman" w:eastAsia="Times New Roman" w:hAnsi="Times New Roman" w:cs="Times New Roman"/>
                <w:i/>
                <w:iCs/>
                <w:color w:val="000000"/>
                <w:sz w:val="20"/>
                <w:szCs w:val="20"/>
                <w:lang w:eastAsia="en-AU"/>
              </w:rPr>
              <w:t>Column 2</w:t>
            </w:r>
          </w:p>
          <w:p w14:paraId="32026992" w14:textId="77777777" w:rsidR="00526B9C" w:rsidRPr="00063314" w:rsidRDefault="00543F23" w:rsidP="002A6A9D">
            <w:pPr>
              <w:spacing w:before="60" w:line="240" w:lineRule="atLeast"/>
              <w:jc w:val="both"/>
              <w:rPr>
                <w:rFonts w:ascii="Times New Roman" w:eastAsia="Times New Roman" w:hAnsi="Times New Roman" w:cs="Times New Roman"/>
                <w:i/>
                <w:iCs/>
                <w:color w:val="000000"/>
                <w:sz w:val="20"/>
                <w:szCs w:val="20"/>
                <w:lang w:eastAsia="en-AU"/>
              </w:rPr>
            </w:pPr>
            <w:r w:rsidRPr="00063314">
              <w:rPr>
                <w:rFonts w:ascii="Times New Roman" w:eastAsia="Times New Roman" w:hAnsi="Times New Roman" w:cs="Times New Roman"/>
                <w:i/>
                <w:iCs/>
                <w:color w:val="000000"/>
                <w:sz w:val="20"/>
                <w:szCs w:val="20"/>
                <w:lang w:eastAsia="en-AU"/>
              </w:rPr>
              <w:t>if ...</w:t>
            </w:r>
          </w:p>
        </w:tc>
      </w:tr>
      <w:tr w:rsidR="00526B9C" w:rsidRPr="00063314" w14:paraId="3202699B" w14:textId="77777777" w:rsidTr="004E78B2">
        <w:tc>
          <w:tcPr>
            <w:tcW w:w="655" w:type="dxa"/>
            <w:tcBorders>
              <w:top w:val="nil"/>
              <w:left w:val="nil"/>
              <w:bottom w:val="nil"/>
              <w:right w:val="nil"/>
            </w:tcBorders>
            <w:shd w:val="clear" w:color="auto" w:fill="FFFFFF"/>
            <w:tcMar>
              <w:top w:w="0" w:type="dxa"/>
              <w:left w:w="108" w:type="dxa"/>
              <w:bottom w:w="0" w:type="dxa"/>
              <w:right w:w="108" w:type="dxa"/>
            </w:tcMar>
            <w:hideMark/>
          </w:tcPr>
          <w:p w14:paraId="32026994" w14:textId="77777777" w:rsidR="00526B9C" w:rsidRPr="00063314" w:rsidRDefault="00543F23" w:rsidP="002A6A9D">
            <w:pPr>
              <w:spacing w:before="60" w:line="240" w:lineRule="atLeast"/>
              <w:jc w:val="both"/>
              <w:rPr>
                <w:rFonts w:ascii="Times New Roman" w:eastAsia="Times New Roman" w:hAnsi="Times New Roman" w:cs="Times New Roman"/>
                <w:color w:val="000000"/>
                <w:sz w:val="20"/>
                <w:szCs w:val="20"/>
                <w:lang w:eastAsia="en-AU"/>
              </w:rPr>
            </w:pPr>
            <w:r w:rsidRPr="00063314">
              <w:rPr>
                <w:rFonts w:ascii="Times New Roman" w:eastAsia="Times New Roman" w:hAnsi="Times New Roman" w:cs="Times New Roman"/>
                <w:color w:val="000000"/>
                <w:sz w:val="20"/>
                <w:szCs w:val="20"/>
                <w:lang w:eastAsia="en-AU"/>
              </w:rPr>
              <w:t>1</w:t>
            </w:r>
          </w:p>
        </w:tc>
        <w:tc>
          <w:tcPr>
            <w:tcW w:w="2640" w:type="dxa"/>
            <w:tcBorders>
              <w:top w:val="nil"/>
              <w:left w:val="nil"/>
              <w:bottom w:val="nil"/>
              <w:right w:val="nil"/>
            </w:tcBorders>
            <w:shd w:val="clear" w:color="auto" w:fill="FFFFFF"/>
            <w:tcMar>
              <w:top w:w="0" w:type="dxa"/>
              <w:left w:w="108" w:type="dxa"/>
              <w:bottom w:w="0" w:type="dxa"/>
              <w:right w:w="108" w:type="dxa"/>
            </w:tcMar>
            <w:hideMark/>
          </w:tcPr>
          <w:p w14:paraId="32026995" w14:textId="77777777" w:rsidR="00526B9C" w:rsidRPr="00063314" w:rsidRDefault="00543F23" w:rsidP="002A6A9D">
            <w:pPr>
              <w:spacing w:before="60" w:line="240" w:lineRule="atLeast"/>
              <w:jc w:val="both"/>
              <w:rPr>
                <w:rFonts w:ascii="Times New Roman" w:eastAsia="Times New Roman" w:hAnsi="Times New Roman" w:cs="Times New Roman"/>
                <w:color w:val="000000"/>
                <w:sz w:val="20"/>
                <w:szCs w:val="20"/>
                <w:lang w:eastAsia="en-AU"/>
              </w:rPr>
            </w:pPr>
            <w:r w:rsidRPr="00063314">
              <w:rPr>
                <w:rFonts w:ascii="Times New Roman" w:eastAsia="Times New Roman" w:hAnsi="Times New Roman" w:cs="Times New Roman"/>
                <w:color w:val="000000"/>
                <w:sz w:val="20"/>
                <w:szCs w:val="20"/>
                <w:lang w:eastAsia="en-AU"/>
              </w:rPr>
              <w:t>an employer against an employee</w:t>
            </w:r>
          </w:p>
        </w:tc>
        <w:tc>
          <w:tcPr>
            <w:tcW w:w="5525" w:type="dxa"/>
            <w:tcBorders>
              <w:top w:val="nil"/>
              <w:left w:val="nil"/>
              <w:bottom w:val="nil"/>
              <w:right w:val="nil"/>
            </w:tcBorders>
            <w:shd w:val="clear" w:color="auto" w:fill="FFFFFF"/>
            <w:tcMar>
              <w:top w:w="0" w:type="dxa"/>
              <w:left w:w="108" w:type="dxa"/>
              <w:bottom w:w="0" w:type="dxa"/>
              <w:right w:w="108" w:type="dxa"/>
            </w:tcMar>
            <w:hideMark/>
          </w:tcPr>
          <w:p w14:paraId="32026996" w14:textId="77777777" w:rsidR="00526B9C" w:rsidRPr="00063314" w:rsidRDefault="00543F23" w:rsidP="002A6A9D">
            <w:pPr>
              <w:spacing w:before="60" w:line="240" w:lineRule="atLeast"/>
              <w:jc w:val="both"/>
              <w:rPr>
                <w:rFonts w:ascii="Times New Roman" w:eastAsia="Times New Roman" w:hAnsi="Times New Roman" w:cs="Times New Roman"/>
                <w:color w:val="000000"/>
                <w:sz w:val="20"/>
                <w:szCs w:val="20"/>
                <w:lang w:eastAsia="en-AU"/>
              </w:rPr>
            </w:pPr>
            <w:r w:rsidRPr="00063314">
              <w:rPr>
                <w:rFonts w:ascii="Times New Roman" w:eastAsia="Times New Roman" w:hAnsi="Times New Roman" w:cs="Times New Roman"/>
                <w:color w:val="000000"/>
                <w:sz w:val="20"/>
                <w:szCs w:val="20"/>
                <w:lang w:eastAsia="en-AU"/>
              </w:rPr>
              <w:t>the employer:</w:t>
            </w:r>
          </w:p>
          <w:p w14:paraId="32026997" w14:textId="77777777" w:rsidR="00526B9C" w:rsidRPr="00063314" w:rsidRDefault="00543F23" w:rsidP="002A6A9D">
            <w:pPr>
              <w:spacing w:before="60"/>
              <w:ind w:left="284" w:hanging="284"/>
              <w:jc w:val="both"/>
              <w:rPr>
                <w:rFonts w:ascii="Times New Roman" w:eastAsia="Times New Roman" w:hAnsi="Times New Roman" w:cs="Times New Roman"/>
                <w:color w:val="000000"/>
                <w:sz w:val="20"/>
                <w:szCs w:val="20"/>
                <w:lang w:eastAsia="en-AU"/>
              </w:rPr>
            </w:pPr>
            <w:r w:rsidRPr="00063314">
              <w:rPr>
                <w:rFonts w:ascii="Times New Roman" w:eastAsia="Times New Roman" w:hAnsi="Times New Roman" w:cs="Times New Roman"/>
                <w:color w:val="000000"/>
                <w:sz w:val="20"/>
                <w:szCs w:val="20"/>
                <w:lang w:eastAsia="en-AU"/>
              </w:rPr>
              <w:t>(a) dismisses the employee; or</w:t>
            </w:r>
          </w:p>
          <w:p w14:paraId="32026998" w14:textId="77777777" w:rsidR="00526B9C" w:rsidRPr="00063314" w:rsidRDefault="00543F23" w:rsidP="002A6A9D">
            <w:pPr>
              <w:spacing w:before="60"/>
              <w:ind w:left="284" w:hanging="284"/>
              <w:jc w:val="both"/>
              <w:rPr>
                <w:rFonts w:ascii="Times New Roman" w:eastAsia="Times New Roman" w:hAnsi="Times New Roman" w:cs="Times New Roman"/>
                <w:color w:val="000000"/>
                <w:sz w:val="20"/>
                <w:szCs w:val="20"/>
                <w:lang w:eastAsia="en-AU"/>
              </w:rPr>
            </w:pPr>
            <w:r w:rsidRPr="00063314">
              <w:rPr>
                <w:rFonts w:ascii="Times New Roman" w:eastAsia="Times New Roman" w:hAnsi="Times New Roman" w:cs="Times New Roman"/>
                <w:color w:val="000000"/>
                <w:sz w:val="20"/>
                <w:szCs w:val="20"/>
                <w:lang w:eastAsia="en-AU"/>
              </w:rPr>
              <w:t>(b) injures the employee in his or her employment; or</w:t>
            </w:r>
          </w:p>
          <w:p w14:paraId="32026999" w14:textId="77777777" w:rsidR="00526B9C" w:rsidRPr="00063314" w:rsidRDefault="00543F23" w:rsidP="002A6A9D">
            <w:pPr>
              <w:spacing w:before="60"/>
              <w:ind w:left="284" w:hanging="284"/>
              <w:jc w:val="both"/>
              <w:rPr>
                <w:rFonts w:ascii="Times New Roman" w:eastAsia="Times New Roman" w:hAnsi="Times New Roman" w:cs="Times New Roman"/>
                <w:color w:val="000000"/>
                <w:sz w:val="20"/>
                <w:szCs w:val="20"/>
                <w:lang w:eastAsia="en-AU"/>
              </w:rPr>
            </w:pPr>
            <w:r w:rsidRPr="00063314">
              <w:rPr>
                <w:rFonts w:ascii="Times New Roman" w:eastAsia="Times New Roman" w:hAnsi="Times New Roman" w:cs="Times New Roman"/>
                <w:color w:val="000000"/>
                <w:sz w:val="20"/>
                <w:szCs w:val="20"/>
                <w:lang w:eastAsia="en-AU"/>
              </w:rPr>
              <w:t>(c)  alters the position of the employee to the employee’s prejudice; or</w:t>
            </w:r>
          </w:p>
          <w:p w14:paraId="3202699A" w14:textId="77777777" w:rsidR="00526B9C" w:rsidRPr="00063314" w:rsidRDefault="00543F23" w:rsidP="002A6A9D">
            <w:pPr>
              <w:spacing w:before="60"/>
              <w:ind w:left="284" w:hanging="284"/>
              <w:jc w:val="both"/>
              <w:rPr>
                <w:rFonts w:ascii="Times New Roman" w:eastAsia="Times New Roman" w:hAnsi="Times New Roman" w:cs="Times New Roman"/>
                <w:color w:val="000000"/>
                <w:sz w:val="20"/>
                <w:szCs w:val="20"/>
                <w:lang w:eastAsia="en-AU"/>
              </w:rPr>
            </w:pPr>
            <w:r w:rsidRPr="00063314">
              <w:rPr>
                <w:rFonts w:ascii="Times New Roman" w:eastAsia="Times New Roman" w:hAnsi="Times New Roman" w:cs="Times New Roman"/>
                <w:color w:val="000000"/>
                <w:sz w:val="20"/>
                <w:szCs w:val="20"/>
                <w:lang w:eastAsia="en-AU"/>
              </w:rPr>
              <w:t>(d) discriminates between the employee and other employees of the employer.</w:t>
            </w:r>
            <w:r w:rsidRPr="00063314">
              <w:rPr>
                <w:rStyle w:val="FootnoteReference"/>
                <w:rFonts w:ascii="Times New Roman" w:eastAsia="Times New Roman" w:hAnsi="Times New Roman" w:cs="Times New Roman"/>
                <w:color w:val="000000"/>
                <w:sz w:val="20"/>
                <w:szCs w:val="20"/>
                <w:lang w:eastAsia="en-AU"/>
              </w:rPr>
              <w:footnoteReference w:id="14"/>
            </w:r>
          </w:p>
        </w:tc>
      </w:tr>
    </w:tbl>
    <w:p w14:paraId="3202699C" w14:textId="77777777" w:rsidR="00526B9C" w:rsidRPr="00063314" w:rsidRDefault="00526B9C" w:rsidP="002A6A9D">
      <w:pPr>
        <w:spacing w:line="240" w:lineRule="auto"/>
        <w:jc w:val="both"/>
        <w:rPr>
          <w:rFonts w:ascii="Times New Roman" w:hAnsi="Times New Roman" w:cs="Times New Roman"/>
          <w:sz w:val="24"/>
          <w:szCs w:val="24"/>
        </w:rPr>
      </w:pPr>
    </w:p>
    <w:p w14:paraId="3202699D" w14:textId="0DAF38D7" w:rsidR="00526B9C" w:rsidRPr="00063314" w:rsidRDefault="00543F23" w:rsidP="002A6A9D">
      <w:pPr>
        <w:spacing w:line="240" w:lineRule="auto"/>
        <w:jc w:val="both"/>
        <w:rPr>
          <w:rFonts w:ascii="Times New Roman" w:hAnsi="Times New Roman" w:cs="Times New Roman"/>
          <w:sz w:val="24"/>
          <w:szCs w:val="24"/>
        </w:rPr>
      </w:pPr>
      <w:r w:rsidRPr="00063314">
        <w:rPr>
          <w:rFonts w:ascii="Times New Roman" w:hAnsi="Times New Roman" w:cs="Times New Roman"/>
          <w:sz w:val="24"/>
          <w:szCs w:val="24"/>
        </w:rPr>
        <w:t>The High Court has indicated, under previous legislation relating to union victimisation protections from which several of these ‘adverse action’ concepts derive,</w:t>
      </w:r>
      <w:r w:rsidRPr="00063314">
        <w:rPr>
          <w:rStyle w:val="FootnoteReference"/>
          <w:rFonts w:ascii="Times New Roman" w:hAnsi="Times New Roman" w:cs="Times New Roman"/>
          <w:sz w:val="24"/>
          <w:szCs w:val="24"/>
        </w:rPr>
        <w:footnoteReference w:id="15"/>
      </w:r>
      <w:r w:rsidRPr="00063314">
        <w:rPr>
          <w:rFonts w:ascii="Times New Roman" w:hAnsi="Times New Roman" w:cs="Times New Roman"/>
          <w:sz w:val="24"/>
          <w:szCs w:val="24"/>
        </w:rPr>
        <w:t xml:space="preserve"> that the form of ‘adverse action’ that comprises ‘injures’ in employment ‘</w:t>
      </w:r>
      <w:r w:rsidRPr="00063314">
        <w:rPr>
          <w:rFonts w:ascii="Times New Roman" w:hAnsi="Times New Roman" w:cs="Times New Roman"/>
          <w:sz w:val="24"/>
          <w:szCs w:val="24"/>
          <w:lang w:val="en"/>
        </w:rPr>
        <w:t xml:space="preserve">covers injury of any compensable kind’, and that </w:t>
      </w:r>
      <w:r w:rsidRPr="00063314">
        <w:rPr>
          <w:rFonts w:ascii="Times New Roman" w:hAnsi="Times New Roman" w:cs="Times New Roman"/>
          <w:sz w:val="24"/>
          <w:szCs w:val="24"/>
        </w:rPr>
        <w:t>‘adverse action’ in the form of ‘alter[</w:t>
      </w:r>
      <w:proofErr w:type="spellStart"/>
      <w:r w:rsidRPr="00063314">
        <w:rPr>
          <w:rFonts w:ascii="Times New Roman" w:hAnsi="Times New Roman" w:cs="Times New Roman"/>
          <w:sz w:val="24"/>
          <w:szCs w:val="24"/>
        </w:rPr>
        <w:t>ing</w:t>
      </w:r>
      <w:proofErr w:type="spellEnd"/>
      <w:r w:rsidRPr="00063314">
        <w:rPr>
          <w:rFonts w:ascii="Times New Roman" w:hAnsi="Times New Roman" w:cs="Times New Roman"/>
          <w:sz w:val="24"/>
          <w:szCs w:val="24"/>
        </w:rPr>
        <w:t>]’ the position of the claimant to their ‘prejudice’ is ‘</w:t>
      </w:r>
      <w:r w:rsidRPr="00063314">
        <w:rPr>
          <w:rFonts w:ascii="Times New Roman" w:eastAsiaTheme="minorEastAsia" w:hAnsi="Times New Roman" w:cs="Times New Roman"/>
          <w:kern w:val="24"/>
          <w:sz w:val="24"/>
          <w:szCs w:val="24"/>
        </w:rPr>
        <w:t>a broad additional category which covers not only legal injury but any adverse affection of, or deterioration in, the advantages enjoyed by the [person] before the conduct in question’.</w:t>
      </w:r>
      <w:r w:rsidRPr="00063314">
        <w:rPr>
          <w:rStyle w:val="FootnoteReference"/>
          <w:rFonts w:ascii="Times New Roman" w:hAnsi="Times New Roman" w:cs="Times New Roman"/>
          <w:sz w:val="24"/>
          <w:szCs w:val="24"/>
        </w:rPr>
        <w:footnoteReference w:id="16"/>
      </w:r>
      <w:r w:rsidRPr="00063314">
        <w:rPr>
          <w:rFonts w:ascii="Times New Roman" w:hAnsi="Times New Roman" w:cs="Times New Roman"/>
          <w:sz w:val="24"/>
          <w:szCs w:val="24"/>
        </w:rPr>
        <w:t xml:space="preserve"> Courts indicated under the previous legislation that an assessment of whether there had been an ‘injury’ or ‘prejudice’ required a comparison of the position of the claimant before the impugned conduct, to their position after the </w:t>
      </w:r>
      <w:r w:rsidRPr="00063314">
        <w:rPr>
          <w:rFonts w:ascii="Times New Roman" w:hAnsi="Times New Roman" w:cs="Times New Roman"/>
          <w:sz w:val="24"/>
          <w:szCs w:val="24"/>
        </w:rPr>
        <w:lastRenderedPageBreak/>
        <w:t>conduct.</w:t>
      </w:r>
      <w:r w:rsidRPr="00063314">
        <w:rPr>
          <w:rStyle w:val="FootnoteReference"/>
          <w:rFonts w:ascii="Times New Roman" w:hAnsi="Times New Roman" w:cs="Times New Roman"/>
          <w:sz w:val="24"/>
          <w:szCs w:val="24"/>
        </w:rPr>
        <w:footnoteReference w:id="17"/>
      </w:r>
      <w:r w:rsidRPr="00063314">
        <w:rPr>
          <w:rFonts w:ascii="Times New Roman" w:hAnsi="Times New Roman" w:cs="Times New Roman"/>
          <w:sz w:val="24"/>
          <w:szCs w:val="24"/>
        </w:rPr>
        <w:t xml:space="preserve"> Judges spoke of whether the claimant had been ‘singled out’.</w:t>
      </w:r>
      <w:r w:rsidRPr="00063314">
        <w:rPr>
          <w:rStyle w:val="FootnoteReference"/>
          <w:rFonts w:ascii="Times New Roman" w:hAnsi="Times New Roman" w:cs="Times New Roman"/>
          <w:sz w:val="24"/>
          <w:szCs w:val="24"/>
        </w:rPr>
        <w:footnoteReference w:id="18"/>
      </w:r>
      <w:r w:rsidRPr="00063314">
        <w:rPr>
          <w:rFonts w:ascii="Times New Roman" w:hAnsi="Times New Roman" w:cs="Times New Roman"/>
          <w:sz w:val="24"/>
          <w:szCs w:val="24"/>
        </w:rPr>
        <w:t xml:space="preserve"> These understandings have been carried into the judicial interpretation of s 342(1).</w:t>
      </w:r>
      <w:r w:rsidRPr="00063314">
        <w:rPr>
          <w:rStyle w:val="FootnoteReference"/>
          <w:rFonts w:ascii="Times New Roman" w:hAnsi="Times New Roman" w:cs="Times New Roman"/>
          <w:sz w:val="24"/>
          <w:szCs w:val="24"/>
        </w:rPr>
        <w:footnoteReference w:id="19"/>
      </w:r>
    </w:p>
    <w:p w14:paraId="3202699E" w14:textId="244C174B" w:rsidR="00526B9C" w:rsidRPr="00063314" w:rsidRDefault="00543F23" w:rsidP="002A6A9D">
      <w:pPr>
        <w:spacing w:line="240" w:lineRule="auto"/>
        <w:jc w:val="both"/>
        <w:rPr>
          <w:rFonts w:ascii="Times New Roman" w:hAnsi="Times New Roman" w:cs="Times New Roman"/>
          <w:sz w:val="24"/>
          <w:szCs w:val="24"/>
        </w:rPr>
      </w:pPr>
      <w:r w:rsidRPr="00063314">
        <w:rPr>
          <w:rFonts w:ascii="Times New Roman" w:hAnsi="Times New Roman" w:cs="Times New Roman"/>
          <w:sz w:val="24"/>
          <w:szCs w:val="24"/>
        </w:rPr>
        <w:t>In order to give rise to a contravention of the Act, the ‘adverse action’ under s 342(1) must be ‘because’ of a prohibited ground. There are three sets of prohibited grounds: that the worker has engaged in ‘industrial activities’;</w:t>
      </w:r>
      <w:r w:rsidRPr="00063314">
        <w:rPr>
          <w:rStyle w:val="FootnoteReference"/>
          <w:rFonts w:ascii="Times New Roman" w:hAnsi="Times New Roman" w:cs="Times New Roman"/>
          <w:sz w:val="24"/>
          <w:szCs w:val="24"/>
        </w:rPr>
        <w:footnoteReference w:id="20"/>
      </w:r>
      <w:r w:rsidRPr="00063314">
        <w:rPr>
          <w:rFonts w:ascii="Times New Roman" w:hAnsi="Times New Roman" w:cs="Times New Roman"/>
          <w:sz w:val="24"/>
          <w:szCs w:val="24"/>
        </w:rPr>
        <w:t xml:space="preserve"> or secondly, ‘because’ the worker has, or has exercised, a ‘workplace right’;</w:t>
      </w:r>
      <w:r w:rsidRPr="00063314">
        <w:rPr>
          <w:rStyle w:val="FootnoteReference"/>
          <w:rFonts w:ascii="Times New Roman" w:hAnsi="Times New Roman" w:cs="Times New Roman"/>
          <w:sz w:val="24"/>
          <w:szCs w:val="24"/>
        </w:rPr>
        <w:footnoteReference w:id="21"/>
      </w:r>
      <w:r w:rsidRPr="00063314">
        <w:rPr>
          <w:rFonts w:ascii="Times New Roman" w:hAnsi="Times New Roman" w:cs="Times New Roman"/>
          <w:sz w:val="24"/>
          <w:szCs w:val="24"/>
        </w:rPr>
        <w:t xml:space="preserve"> or thirdly, </w:t>
      </w:r>
      <w:r w:rsidR="00421E1E" w:rsidRPr="00063314">
        <w:rPr>
          <w:rFonts w:ascii="Times New Roman" w:hAnsi="Times New Roman" w:cs="Times New Roman"/>
          <w:sz w:val="24"/>
          <w:szCs w:val="24"/>
        </w:rPr>
        <w:t>‘</w:t>
      </w:r>
      <w:r w:rsidRPr="00063314">
        <w:rPr>
          <w:rFonts w:ascii="Times New Roman" w:hAnsi="Times New Roman" w:cs="Times New Roman"/>
          <w:sz w:val="24"/>
          <w:szCs w:val="24"/>
        </w:rPr>
        <w:t>because</w:t>
      </w:r>
      <w:r w:rsidR="00421E1E" w:rsidRPr="00063314">
        <w:rPr>
          <w:rFonts w:ascii="Times New Roman" w:hAnsi="Times New Roman" w:cs="Times New Roman"/>
          <w:sz w:val="24"/>
          <w:szCs w:val="24"/>
        </w:rPr>
        <w:t>’</w:t>
      </w:r>
      <w:r w:rsidRPr="00063314">
        <w:rPr>
          <w:rFonts w:ascii="Times New Roman" w:hAnsi="Times New Roman" w:cs="Times New Roman"/>
          <w:sz w:val="24"/>
          <w:szCs w:val="24"/>
        </w:rPr>
        <w:t xml:space="preserve"> of one of the discriminatory attributes listed in s 351(1). Section 351(1) provides:</w:t>
      </w:r>
    </w:p>
    <w:p w14:paraId="3202699F" w14:textId="77777777" w:rsidR="00526B9C" w:rsidRPr="00063314" w:rsidRDefault="00543F23" w:rsidP="002A6A9D">
      <w:pPr>
        <w:pStyle w:val="ActHead5"/>
        <w:ind w:left="1843"/>
        <w:jc w:val="both"/>
        <w:rPr>
          <w:b w:val="0"/>
          <w:bCs/>
          <w:i/>
          <w:iCs/>
          <w:sz w:val="20"/>
        </w:rPr>
      </w:pPr>
      <w:bookmarkStart w:id="1" w:name="_Toc533165295"/>
      <w:proofErr w:type="gramStart"/>
      <w:r w:rsidRPr="00063314">
        <w:rPr>
          <w:rStyle w:val="CharSectno"/>
          <w:b w:val="0"/>
          <w:bCs/>
          <w:i/>
          <w:iCs/>
          <w:sz w:val="20"/>
        </w:rPr>
        <w:t>351</w:t>
      </w:r>
      <w:r w:rsidRPr="00063314">
        <w:rPr>
          <w:b w:val="0"/>
          <w:bCs/>
          <w:i/>
          <w:iCs/>
          <w:sz w:val="20"/>
        </w:rPr>
        <w:t xml:space="preserve">  Discrimination</w:t>
      </w:r>
      <w:bookmarkEnd w:id="1"/>
      <w:proofErr w:type="gramEnd"/>
    </w:p>
    <w:p w14:paraId="320269A0" w14:textId="77777777" w:rsidR="00526B9C" w:rsidRPr="00063314" w:rsidRDefault="00543F23" w:rsidP="002A6A9D">
      <w:pPr>
        <w:pStyle w:val="subsection"/>
        <w:ind w:left="709" w:firstLine="11"/>
        <w:jc w:val="both"/>
        <w:rPr>
          <w:sz w:val="20"/>
        </w:rPr>
      </w:pPr>
      <w:r w:rsidRPr="00063314">
        <w:rPr>
          <w:sz w:val="20"/>
        </w:rPr>
        <w:t>An employer must not take adverse action against a person who is an employee, or prospective employee, of the employer because of the person’s race, colour, sex, sexual orientation, age, physical or mental disability, marital status, family or carer’s responsibilities, pregnancy, religion, political opinion, national extraction or social origin.</w:t>
      </w:r>
    </w:p>
    <w:p w14:paraId="320269A1" w14:textId="77777777" w:rsidR="00526B9C" w:rsidRPr="00063314" w:rsidRDefault="00526B9C" w:rsidP="002A6A9D">
      <w:pPr>
        <w:pStyle w:val="subsection"/>
        <w:ind w:left="709" w:firstLine="11"/>
        <w:jc w:val="both"/>
        <w:rPr>
          <w:sz w:val="24"/>
          <w:szCs w:val="24"/>
        </w:rPr>
      </w:pPr>
    </w:p>
    <w:p w14:paraId="320269A2" w14:textId="77777777" w:rsidR="00526B9C" w:rsidRPr="00063314" w:rsidRDefault="00543F23" w:rsidP="002A6A9D">
      <w:pPr>
        <w:spacing w:line="240" w:lineRule="auto"/>
        <w:jc w:val="both"/>
        <w:rPr>
          <w:rFonts w:ascii="Times New Roman" w:hAnsi="Times New Roman" w:cs="Times New Roman"/>
          <w:sz w:val="24"/>
          <w:szCs w:val="24"/>
        </w:rPr>
      </w:pPr>
      <w:r w:rsidRPr="00063314">
        <w:rPr>
          <w:rFonts w:ascii="Times New Roman" w:hAnsi="Times New Roman" w:cs="Times New Roman"/>
          <w:sz w:val="24"/>
          <w:szCs w:val="24"/>
        </w:rPr>
        <w:t>There are some exemptions that are relevant to all the attributes listed in s 351(1), including where the employer took the action because of the ‘inherent requirements’ of the position (s 351(2)(b)).</w:t>
      </w:r>
      <w:r w:rsidRPr="00063314">
        <w:rPr>
          <w:rStyle w:val="FootnoteReference"/>
          <w:rFonts w:ascii="Times New Roman" w:hAnsi="Times New Roman" w:cs="Times New Roman"/>
          <w:sz w:val="24"/>
          <w:szCs w:val="24"/>
        </w:rPr>
        <w:footnoteReference w:id="22"/>
      </w:r>
      <w:r w:rsidRPr="00063314">
        <w:rPr>
          <w:rFonts w:ascii="Times New Roman" w:hAnsi="Times New Roman" w:cs="Times New Roman"/>
          <w:sz w:val="24"/>
          <w:szCs w:val="24"/>
        </w:rPr>
        <w:t xml:space="preserve"> Part 3-1 contains a shifting onus of proof in s 361 under which an employer bears the onus of establishing that the ‘adverse action’ was not taken ‘because’ of one of the prohibited reasons, or for reasons that included a prohibited reason.</w:t>
      </w:r>
      <w:r w:rsidRPr="00063314">
        <w:rPr>
          <w:rStyle w:val="FootnoteReference"/>
          <w:rFonts w:ascii="Times New Roman" w:hAnsi="Times New Roman" w:cs="Times New Roman"/>
          <w:sz w:val="24"/>
          <w:szCs w:val="24"/>
        </w:rPr>
        <w:footnoteReference w:id="23"/>
      </w:r>
    </w:p>
    <w:p w14:paraId="320269A3" w14:textId="77777777" w:rsidR="00526B9C" w:rsidRPr="00063314" w:rsidRDefault="00526B9C" w:rsidP="002A6A9D">
      <w:pPr>
        <w:jc w:val="both"/>
        <w:rPr>
          <w:rFonts w:ascii="Times New Roman" w:hAnsi="Times New Roman" w:cs="Times New Roman"/>
          <w:b/>
        </w:rPr>
      </w:pPr>
    </w:p>
    <w:p w14:paraId="320269A5" w14:textId="601C7443" w:rsidR="00526B9C" w:rsidRPr="000A3C54" w:rsidRDefault="00543F23" w:rsidP="000A3C54">
      <w:pPr>
        <w:jc w:val="center"/>
        <w:rPr>
          <w:rFonts w:ascii="Arial" w:hAnsi="Arial" w:cs="Arial"/>
          <w:sz w:val="28"/>
          <w:szCs w:val="28"/>
        </w:rPr>
      </w:pPr>
      <w:r w:rsidRPr="00253A53">
        <w:rPr>
          <w:rFonts w:ascii="Arial" w:hAnsi="Arial" w:cs="Arial"/>
          <w:b/>
          <w:sz w:val="28"/>
          <w:szCs w:val="28"/>
        </w:rPr>
        <w:t>Reasonable</w:t>
      </w:r>
      <w:r w:rsidR="000A4795" w:rsidRPr="00253A53">
        <w:rPr>
          <w:rFonts w:ascii="Arial" w:hAnsi="Arial" w:cs="Arial"/>
          <w:b/>
          <w:sz w:val="28"/>
          <w:szCs w:val="28"/>
        </w:rPr>
        <w:t xml:space="preserve"> </w:t>
      </w:r>
      <w:r w:rsidRPr="00253A53">
        <w:rPr>
          <w:rFonts w:ascii="Arial" w:hAnsi="Arial" w:cs="Arial"/>
          <w:b/>
          <w:sz w:val="28"/>
          <w:szCs w:val="28"/>
        </w:rPr>
        <w:t>Accommodation</w:t>
      </w:r>
    </w:p>
    <w:p w14:paraId="320269A6" w14:textId="4AD95130" w:rsidR="00526B9C" w:rsidRPr="00253A53" w:rsidRDefault="00543F23" w:rsidP="002A6A9D">
      <w:pPr>
        <w:pStyle w:val="BodyText"/>
        <w:ind w:left="0"/>
        <w:jc w:val="both"/>
        <w:rPr>
          <w:i w:val="0"/>
          <w:sz w:val="24"/>
          <w:szCs w:val="24"/>
        </w:rPr>
      </w:pPr>
      <w:r w:rsidRPr="00253A53">
        <w:rPr>
          <w:i w:val="0"/>
          <w:sz w:val="24"/>
          <w:szCs w:val="24"/>
        </w:rPr>
        <w:t>Many scholars identify that an obligation on employers to provide adjustments to work arrangements is essential to the attainment of equality in a de facto sense.</w:t>
      </w:r>
      <w:r w:rsidRPr="00253A53">
        <w:rPr>
          <w:rStyle w:val="FootnoteReference"/>
          <w:i w:val="0"/>
          <w:sz w:val="24"/>
          <w:szCs w:val="24"/>
        </w:rPr>
        <w:footnoteReference w:id="24"/>
      </w:r>
      <w:r w:rsidRPr="00253A53">
        <w:rPr>
          <w:i w:val="0"/>
          <w:sz w:val="24"/>
          <w:szCs w:val="24"/>
        </w:rPr>
        <w:t xml:space="preserve"> In the Australian context</w:t>
      </w:r>
      <w:r w:rsidR="00BA005D" w:rsidRPr="00253A53">
        <w:rPr>
          <w:i w:val="0"/>
          <w:sz w:val="24"/>
          <w:szCs w:val="24"/>
        </w:rPr>
        <w:t>,</w:t>
      </w:r>
      <w:r w:rsidRPr="00253A53">
        <w:rPr>
          <w:i w:val="0"/>
          <w:sz w:val="24"/>
          <w:szCs w:val="24"/>
        </w:rPr>
        <w:t xml:space="preserve"> the Productivity Commission has recognised that reasonable accommodation is a core component needed for the achievement of substantive equality, which is itself an appropriate basis for disability discrimination legislation.</w:t>
      </w:r>
      <w:r w:rsidRPr="00253A53">
        <w:rPr>
          <w:rStyle w:val="FootnoteReference"/>
          <w:bCs/>
          <w:i w:val="0"/>
          <w:sz w:val="24"/>
          <w:szCs w:val="24"/>
        </w:rPr>
        <w:footnoteReference w:id="25"/>
      </w:r>
      <w:r w:rsidRPr="00253A53">
        <w:rPr>
          <w:i w:val="0"/>
          <w:sz w:val="24"/>
          <w:szCs w:val="24"/>
        </w:rPr>
        <w:t xml:space="preserve"> In 2008 the Australian government ratified the UN Convention on the Right of Persons with Disabilities, and one of the requirements in this Convention is that state parties are to ensure that </w:t>
      </w:r>
      <w:r w:rsidRPr="00253A53">
        <w:rPr>
          <w:i w:val="0"/>
          <w:color w:val="000000"/>
          <w:sz w:val="24"/>
          <w:szCs w:val="24"/>
          <w:lang w:val="en-US"/>
        </w:rPr>
        <w:t>reasonable accommodation is provided to persons with disabilities in the workplace.</w:t>
      </w:r>
      <w:r w:rsidRPr="00253A53">
        <w:rPr>
          <w:rStyle w:val="FootnoteReference"/>
          <w:i w:val="0"/>
          <w:sz w:val="24"/>
          <w:szCs w:val="24"/>
        </w:rPr>
        <w:footnoteReference w:id="26"/>
      </w:r>
      <w:r w:rsidRPr="00253A53">
        <w:rPr>
          <w:i w:val="0"/>
          <w:sz w:val="24"/>
          <w:szCs w:val="24"/>
        </w:rPr>
        <w:t xml:space="preserve"> </w:t>
      </w:r>
    </w:p>
    <w:p w14:paraId="320269A7" w14:textId="77777777" w:rsidR="00526B9C" w:rsidRPr="00253A53" w:rsidRDefault="00526B9C" w:rsidP="002A6A9D">
      <w:pPr>
        <w:pStyle w:val="BodyText"/>
        <w:ind w:left="0"/>
        <w:jc w:val="both"/>
        <w:rPr>
          <w:i w:val="0"/>
          <w:sz w:val="24"/>
          <w:szCs w:val="24"/>
        </w:rPr>
      </w:pPr>
    </w:p>
    <w:p w14:paraId="320269A8" w14:textId="45A53001" w:rsidR="00526B9C" w:rsidRPr="00253A53" w:rsidRDefault="00543F23" w:rsidP="002A6A9D">
      <w:pPr>
        <w:pStyle w:val="BodyText"/>
        <w:ind w:left="0"/>
        <w:jc w:val="both"/>
        <w:rPr>
          <w:i w:val="0"/>
          <w:sz w:val="24"/>
          <w:szCs w:val="24"/>
        </w:rPr>
      </w:pPr>
      <w:r w:rsidRPr="00253A53">
        <w:rPr>
          <w:i w:val="0"/>
          <w:sz w:val="24"/>
          <w:szCs w:val="24"/>
        </w:rPr>
        <w:t>Reasonable accommodation is an underlying value of equality and discrimination law across Australia, at least in relation to disability. Some statutes explicitly link the provision of reasonable accommodation with the objective of substantive equality.</w:t>
      </w:r>
      <w:r w:rsidRPr="00253A53">
        <w:rPr>
          <w:rStyle w:val="FootnoteReference"/>
          <w:i w:val="0"/>
          <w:sz w:val="24"/>
          <w:szCs w:val="24"/>
        </w:rPr>
        <w:footnoteReference w:id="27"/>
      </w:r>
      <w:r w:rsidRPr="00253A53">
        <w:rPr>
          <w:i w:val="0"/>
          <w:sz w:val="24"/>
          <w:szCs w:val="24"/>
        </w:rPr>
        <w:t xml:space="preserve"> Through a number of different </w:t>
      </w:r>
      <w:r w:rsidRPr="007656CA">
        <w:rPr>
          <w:i w:val="0"/>
          <w:sz w:val="24"/>
          <w:szCs w:val="24"/>
        </w:rPr>
        <w:t>mechanisms</w:t>
      </w:r>
      <w:r w:rsidR="00184F1C" w:rsidRPr="007656CA">
        <w:rPr>
          <w:i w:val="0"/>
          <w:sz w:val="24"/>
          <w:szCs w:val="24"/>
        </w:rPr>
        <w:t>,</w:t>
      </w:r>
      <w:r w:rsidRPr="003D3531">
        <w:rPr>
          <w:i w:val="0"/>
          <w:sz w:val="24"/>
          <w:szCs w:val="24"/>
        </w:rPr>
        <w:t xml:space="preserve"> equality and discrimination legislation compels employers to provide accommodation or </w:t>
      </w:r>
      <w:r w:rsidRPr="003D3531">
        <w:rPr>
          <w:i w:val="0"/>
          <w:sz w:val="24"/>
          <w:szCs w:val="24"/>
        </w:rPr>
        <w:lastRenderedPageBreak/>
        <w:t>adjustment for workers with disability, to the extent that it is reasonable for the employer</w:t>
      </w:r>
      <w:r w:rsidRPr="00EA655F">
        <w:rPr>
          <w:i w:val="0"/>
          <w:sz w:val="24"/>
          <w:szCs w:val="24"/>
        </w:rPr>
        <w:t xml:space="preserve"> to provide that accommodation, or in some statutes that the accommodation does not impose an ‘unjustifiable hardship’ on the employer, having regard to all the circumstances of the work situation.</w:t>
      </w:r>
      <w:r w:rsidRPr="007656CA">
        <w:rPr>
          <w:rStyle w:val="FootnoteReference"/>
          <w:i w:val="0"/>
          <w:sz w:val="24"/>
          <w:szCs w:val="24"/>
        </w:rPr>
        <w:footnoteReference w:id="28"/>
      </w:r>
      <w:r w:rsidRPr="007656CA">
        <w:rPr>
          <w:i w:val="0"/>
          <w:sz w:val="24"/>
          <w:szCs w:val="24"/>
        </w:rPr>
        <w:t xml:space="preserve"> Although the obligation to accommodate is well established in Australian equality and discrimination law with respect to disability, it is far less well recognised in relation to other attributes, although some anti-discrimination jurisdictions impose an obligation to </w:t>
      </w:r>
      <w:r w:rsidR="00763461" w:rsidRPr="00EA655F">
        <w:rPr>
          <w:i w:val="0"/>
          <w:sz w:val="24"/>
          <w:szCs w:val="24"/>
        </w:rPr>
        <w:t xml:space="preserve">reasonably </w:t>
      </w:r>
      <w:r w:rsidRPr="00EA655F">
        <w:rPr>
          <w:i w:val="0"/>
          <w:sz w:val="24"/>
          <w:szCs w:val="24"/>
        </w:rPr>
        <w:t>accommodate that extends to being</w:t>
      </w:r>
      <w:r w:rsidRPr="009B24E5">
        <w:rPr>
          <w:i w:val="0"/>
          <w:sz w:val="24"/>
          <w:szCs w:val="24"/>
        </w:rPr>
        <w:t xml:space="preserve"> a parent or having care responsibilities.</w:t>
      </w:r>
      <w:r w:rsidRPr="007656CA">
        <w:rPr>
          <w:rStyle w:val="FootnoteReference"/>
          <w:i w:val="0"/>
          <w:sz w:val="24"/>
          <w:szCs w:val="24"/>
        </w:rPr>
        <w:footnoteReference w:id="29"/>
      </w:r>
      <w:r w:rsidRPr="00253A53">
        <w:rPr>
          <w:i w:val="0"/>
          <w:sz w:val="24"/>
          <w:szCs w:val="24"/>
        </w:rPr>
        <w:t xml:space="preserve"> </w:t>
      </w:r>
    </w:p>
    <w:p w14:paraId="320269A9" w14:textId="77777777" w:rsidR="00526B9C" w:rsidRPr="00253A53" w:rsidRDefault="00526B9C" w:rsidP="002A6A9D">
      <w:pPr>
        <w:autoSpaceDE w:val="0"/>
        <w:autoSpaceDN w:val="0"/>
        <w:adjustRightInd w:val="0"/>
        <w:spacing w:after="0" w:line="240" w:lineRule="auto"/>
        <w:jc w:val="both"/>
        <w:rPr>
          <w:rFonts w:ascii="Times New Roman" w:hAnsi="Times New Roman" w:cs="Times New Roman"/>
          <w:sz w:val="24"/>
          <w:szCs w:val="24"/>
        </w:rPr>
      </w:pPr>
    </w:p>
    <w:p w14:paraId="320269AA" w14:textId="5FFC1D0A" w:rsidR="00526B9C" w:rsidRPr="00253A53" w:rsidRDefault="00543F23" w:rsidP="002A6A9D">
      <w:pPr>
        <w:pStyle w:val="BodyText"/>
        <w:jc w:val="both"/>
        <w:rPr>
          <w:i w:val="0"/>
          <w:sz w:val="24"/>
          <w:szCs w:val="24"/>
        </w:rPr>
      </w:pPr>
      <w:r w:rsidRPr="00253A53">
        <w:rPr>
          <w:i w:val="0"/>
          <w:sz w:val="24"/>
          <w:szCs w:val="24"/>
        </w:rPr>
        <w:t>From its enactment in 2009 it was always unclear whether an obligation of reasonable adjustment or accommodation would be interpreted as being required under Part 3-1 of the FW</w:t>
      </w:r>
      <w:r w:rsidR="00DE362C" w:rsidRPr="00253A53">
        <w:rPr>
          <w:i w:val="0"/>
          <w:sz w:val="24"/>
          <w:szCs w:val="24"/>
        </w:rPr>
        <w:t xml:space="preserve"> </w:t>
      </w:r>
      <w:r w:rsidRPr="00253A53">
        <w:rPr>
          <w:i w:val="0"/>
          <w:sz w:val="24"/>
          <w:szCs w:val="24"/>
        </w:rPr>
        <w:t>A</w:t>
      </w:r>
      <w:r w:rsidR="00DE362C" w:rsidRPr="00253A53">
        <w:rPr>
          <w:i w:val="0"/>
          <w:sz w:val="24"/>
          <w:szCs w:val="24"/>
        </w:rPr>
        <w:t>ct</w:t>
      </w:r>
      <w:r w:rsidRPr="00253A53">
        <w:rPr>
          <w:i w:val="0"/>
          <w:sz w:val="24"/>
          <w:szCs w:val="24"/>
        </w:rPr>
        <w:t>.</w:t>
      </w:r>
      <w:r w:rsidRPr="00253A53">
        <w:rPr>
          <w:rStyle w:val="FootnoteReference"/>
          <w:i w:val="0"/>
          <w:sz w:val="24"/>
          <w:szCs w:val="24"/>
        </w:rPr>
        <w:footnoteReference w:id="30"/>
      </w:r>
      <w:r w:rsidRPr="00253A53">
        <w:rPr>
          <w:i w:val="0"/>
          <w:sz w:val="24"/>
          <w:szCs w:val="24"/>
        </w:rPr>
        <w:t xml:space="preserve"> Clearly no such explicit obligation arises on the face of the legislation. There appear to be three separate points in Part 3-1 at which an obligation of reasonable accommodation might be implied: that a failure by an employer to reasonably accommodate </w:t>
      </w:r>
      <w:r w:rsidR="00432A9C" w:rsidRPr="00253A53">
        <w:rPr>
          <w:i w:val="0"/>
          <w:sz w:val="24"/>
          <w:szCs w:val="24"/>
        </w:rPr>
        <w:t xml:space="preserve">itself amounts to, or </w:t>
      </w:r>
      <w:r w:rsidR="00FB23FA" w:rsidRPr="00253A53">
        <w:rPr>
          <w:i w:val="0"/>
          <w:sz w:val="24"/>
          <w:szCs w:val="24"/>
        </w:rPr>
        <w:t>generates</w:t>
      </w:r>
      <w:r w:rsidR="00432A9C" w:rsidRPr="00253A53">
        <w:rPr>
          <w:i w:val="0"/>
          <w:sz w:val="24"/>
          <w:szCs w:val="24"/>
        </w:rPr>
        <w:t>,</w:t>
      </w:r>
      <w:r w:rsidR="00FB23FA" w:rsidRPr="00253A53">
        <w:rPr>
          <w:i w:val="0"/>
          <w:sz w:val="24"/>
          <w:szCs w:val="24"/>
        </w:rPr>
        <w:t xml:space="preserve"> </w:t>
      </w:r>
      <w:r w:rsidRPr="00253A53">
        <w:rPr>
          <w:i w:val="0"/>
          <w:sz w:val="24"/>
          <w:szCs w:val="24"/>
        </w:rPr>
        <w:t>a form of ‘adverse action’ within the meaning of s 342(1); that a failure by an employer to reasonably accommodate on an attribute listed in s 351(1) is itself a contravention of s 351(1), regardless of whether it produces a type of ‘adverse action’ within the meaning of s 342(1); and thirdly, as part of applying the ‘inherent requirements’ exemption in s 351(2)(b).</w:t>
      </w:r>
      <w:r w:rsidRPr="00253A53">
        <w:rPr>
          <w:rStyle w:val="FootnoteReference"/>
          <w:i w:val="0"/>
          <w:sz w:val="24"/>
          <w:szCs w:val="24"/>
        </w:rPr>
        <w:footnoteReference w:id="31"/>
      </w:r>
      <w:r w:rsidRPr="00253A53">
        <w:rPr>
          <w:i w:val="0"/>
          <w:sz w:val="24"/>
          <w:szCs w:val="24"/>
        </w:rPr>
        <w:t xml:space="preserve"> This third possibility is that an employer will only be able to exonerate its conduct under the s 351(2)(b) exemption where it can show that the claimant was not able to satisfy the ‘inherent requirements’ of the position, even were it to provide reasonable accommodation or adjustments for them. To deal with this last possibility first, there has been no discussion in judgments under Part 3-1 of reasonable accommodation in the context of the ‘inherent requirements’ exemption in s 351(2)(b). In other words, the cases are silent on the question of whether an employer is required to provide a level of accommodation or adjustment for a worker before coming to an assessment that the worker cannot perform the ‘inherent requirements’ of the position (on the attribute of disability or any other attribute). </w:t>
      </w:r>
    </w:p>
    <w:p w14:paraId="320269AB" w14:textId="77777777" w:rsidR="00526B9C" w:rsidRPr="00253A53" w:rsidRDefault="00526B9C" w:rsidP="002A6A9D">
      <w:pPr>
        <w:pStyle w:val="BodyText"/>
        <w:jc w:val="both"/>
        <w:rPr>
          <w:i w:val="0"/>
          <w:sz w:val="24"/>
          <w:szCs w:val="24"/>
        </w:rPr>
      </w:pPr>
    </w:p>
    <w:p w14:paraId="320269AC" w14:textId="29946FA0" w:rsidR="00526B9C" w:rsidRPr="00253A53" w:rsidRDefault="00543F23" w:rsidP="002A6A9D">
      <w:pPr>
        <w:jc w:val="both"/>
        <w:rPr>
          <w:rFonts w:ascii="Times New Roman" w:hAnsi="Times New Roman" w:cs="Times New Roman"/>
          <w:color w:val="171717" w:themeColor="background2" w:themeShade="1A"/>
          <w:sz w:val="24"/>
          <w:szCs w:val="24"/>
        </w:rPr>
      </w:pPr>
      <w:r w:rsidRPr="00253A53">
        <w:rPr>
          <w:rFonts w:ascii="Times New Roman" w:hAnsi="Times New Roman" w:cs="Times New Roman"/>
          <w:color w:val="171717" w:themeColor="background2" w:themeShade="1A"/>
          <w:sz w:val="24"/>
          <w:szCs w:val="24"/>
        </w:rPr>
        <w:t>The first two possible points at which an obligation of reasonable accommodation might be implied are discussed in four decisions of the Federal Magistrates Court and Federal Circuit Court.</w:t>
      </w:r>
      <w:r w:rsidRPr="00253A53">
        <w:rPr>
          <w:rStyle w:val="FootnoteReference"/>
          <w:rFonts w:ascii="Times New Roman" w:hAnsi="Times New Roman" w:cs="Times New Roman"/>
          <w:color w:val="171717" w:themeColor="background2" w:themeShade="1A"/>
          <w:sz w:val="24"/>
          <w:szCs w:val="24"/>
        </w:rPr>
        <w:footnoteReference w:id="32"/>
      </w:r>
      <w:r w:rsidRPr="00253A53">
        <w:rPr>
          <w:rFonts w:ascii="Times New Roman" w:hAnsi="Times New Roman" w:cs="Times New Roman"/>
          <w:color w:val="171717" w:themeColor="background2" w:themeShade="1A"/>
          <w:sz w:val="24"/>
          <w:szCs w:val="24"/>
        </w:rPr>
        <w:t xml:space="preserve"> All four appear to deal with this as a question under s 351(1), and one looks at it as a question under s 342(1) as well. All reject the view that Part 3-1 imposes an obligation on employers to provide reasonable accommodation or adjustment to their employees.</w:t>
      </w:r>
      <w:r w:rsidRPr="00253A53">
        <w:rPr>
          <w:rStyle w:val="FootnoteReference"/>
          <w:rFonts w:ascii="Times New Roman" w:hAnsi="Times New Roman" w:cs="Times New Roman"/>
          <w:color w:val="171717" w:themeColor="background2" w:themeShade="1A"/>
          <w:sz w:val="24"/>
          <w:szCs w:val="24"/>
        </w:rPr>
        <w:footnoteReference w:id="33"/>
      </w:r>
      <w:r w:rsidRPr="00253A53">
        <w:rPr>
          <w:rFonts w:ascii="Times New Roman" w:hAnsi="Times New Roman" w:cs="Times New Roman"/>
          <w:color w:val="171717" w:themeColor="background2" w:themeShade="1A"/>
          <w:sz w:val="24"/>
          <w:szCs w:val="24"/>
        </w:rPr>
        <w:t xml:space="preserve"> None of the four judgments could be said to delve deeply into the reasoning for the judicial view that is expressed. The first two judgments do not cite any authority on the question of whether Part 3-1 imposes an obligation of reasonable accommodation.</w:t>
      </w:r>
      <w:r w:rsidRPr="00253A53">
        <w:rPr>
          <w:rStyle w:val="FootnoteReference"/>
          <w:rFonts w:ascii="Times New Roman" w:hAnsi="Times New Roman" w:cs="Times New Roman"/>
          <w:color w:val="171717" w:themeColor="background2" w:themeShade="1A"/>
          <w:sz w:val="24"/>
          <w:szCs w:val="24"/>
        </w:rPr>
        <w:footnoteReference w:id="34"/>
      </w:r>
      <w:r w:rsidRPr="00253A53">
        <w:rPr>
          <w:rFonts w:ascii="Times New Roman" w:hAnsi="Times New Roman" w:cs="Times New Roman"/>
          <w:color w:val="171717" w:themeColor="background2" w:themeShade="1A"/>
          <w:sz w:val="24"/>
          <w:szCs w:val="24"/>
        </w:rPr>
        <w:t xml:space="preserve"> The two most recent judgments cite the first case </w:t>
      </w:r>
      <w:r w:rsidR="00BA005D" w:rsidRPr="00253A53">
        <w:rPr>
          <w:rFonts w:ascii="Times New Roman" w:hAnsi="Times New Roman" w:cs="Times New Roman"/>
          <w:color w:val="171717" w:themeColor="background2" w:themeShade="1A"/>
          <w:sz w:val="24"/>
          <w:szCs w:val="24"/>
        </w:rPr>
        <w:t>—</w:t>
      </w:r>
      <w:r w:rsidRPr="00253A53">
        <w:rPr>
          <w:rFonts w:ascii="Times New Roman" w:hAnsi="Times New Roman" w:cs="Times New Roman"/>
          <w:color w:val="171717" w:themeColor="background2" w:themeShade="1A"/>
          <w:sz w:val="24"/>
          <w:szCs w:val="24"/>
        </w:rPr>
        <w:t xml:space="preserve"> </w:t>
      </w:r>
      <w:r w:rsidRPr="00253A53">
        <w:rPr>
          <w:rFonts w:ascii="Times New Roman" w:hAnsi="Times New Roman" w:cs="Times New Roman"/>
          <w:i/>
          <w:color w:val="171717" w:themeColor="background2" w:themeShade="1A"/>
          <w:sz w:val="24"/>
          <w:szCs w:val="24"/>
        </w:rPr>
        <w:t xml:space="preserve">Hodkinson </w:t>
      </w:r>
      <w:r w:rsidR="003D3531" w:rsidRPr="003D3531">
        <w:rPr>
          <w:rFonts w:ascii="Times New Roman" w:hAnsi="Times New Roman" w:cs="Times New Roman"/>
          <w:i/>
          <w:color w:val="171717" w:themeColor="background2" w:themeShade="1A"/>
          <w:sz w:val="24"/>
          <w:szCs w:val="24"/>
        </w:rPr>
        <w:t xml:space="preserve">v Commonwealth </w:t>
      </w:r>
      <w:r w:rsidR="00A85BE0">
        <w:rPr>
          <w:rFonts w:ascii="Times New Roman" w:hAnsi="Times New Roman" w:cs="Times New Roman"/>
          <w:iCs/>
          <w:color w:val="171717" w:themeColor="background2" w:themeShade="1A"/>
          <w:sz w:val="24"/>
          <w:szCs w:val="24"/>
        </w:rPr>
        <w:t>(</w:t>
      </w:r>
      <w:r w:rsidR="00A85BE0">
        <w:rPr>
          <w:rFonts w:ascii="Times New Roman" w:hAnsi="Times New Roman" w:cs="Times New Roman"/>
          <w:i/>
          <w:color w:val="171717" w:themeColor="background2" w:themeShade="1A"/>
          <w:sz w:val="24"/>
          <w:szCs w:val="24"/>
        </w:rPr>
        <w:t>Hodkinson</w:t>
      </w:r>
      <w:r w:rsidR="00A85BE0">
        <w:rPr>
          <w:rFonts w:ascii="Times New Roman" w:hAnsi="Times New Roman" w:cs="Times New Roman"/>
          <w:iCs/>
          <w:color w:val="171717" w:themeColor="background2" w:themeShade="1A"/>
          <w:sz w:val="24"/>
          <w:szCs w:val="24"/>
        </w:rPr>
        <w:t xml:space="preserve">) </w:t>
      </w:r>
      <w:r w:rsidR="00BA005D" w:rsidRPr="00253A53">
        <w:rPr>
          <w:rFonts w:ascii="Times New Roman" w:hAnsi="Times New Roman" w:cs="Times New Roman"/>
          <w:color w:val="171717" w:themeColor="background2" w:themeShade="1A"/>
          <w:sz w:val="24"/>
          <w:szCs w:val="24"/>
        </w:rPr>
        <w:t>—</w:t>
      </w:r>
      <w:r w:rsidRPr="00253A53">
        <w:rPr>
          <w:rFonts w:ascii="Times New Roman" w:hAnsi="Times New Roman" w:cs="Times New Roman"/>
          <w:color w:val="171717" w:themeColor="background2" w:themeShade="1A"/>
          <w:sz w:val="24"/>
          <w:szCs w:val="24"/>
        </w:rPr>
        <w:t xml:space="preserve"> as authority, as well as a Federal Court decision which is cited as approving </w:t>
      </w:r>
      <w:r w:rsidRPr="00253A53">
        <w:rPr>
          <w:rFonts w:ascii="Times New Roman" w:hAnsi="Times New Roman" w:cs="Times New Roman"/>
          <w:i/>
          <w:color w:val="171717" w:themeColor="background2" w:themeShade="1A"/>
          <w:sz w:val="24"/>
          <w:szCs w:val="24"/>
        </w:rPr>
        <w:t>Hodkinson</w:t>
      </w:r>
      <w:r w:rsidRPr="00253A53">
        <w:rPr>
          <w:rFonts w:ascii="Times New Roman" w:hAnsi="Times New Roman" w:cs="Times New Roman"/>
          <w:color w:val="171717" w:themeColor="background2" w:themeShade="1A"/>
          <w:sz w:val="24"/>
          <w:szCs w:val="24"/>
        </w:rPr>
        <w:t>.</w:t>
      </w:r>
      <w:r w:rsidRPr="00253A53">
        <w:rPr>
          <w:rStyle w:val="FootnoteReference"/>
          <w:rFonts w:ascii="Times New Roman" w:hAnsi="Times New Roman" w:cs="Times New Roman"/>
          <w:color w:val="171717" w:themeColor="background2" w:themeShade="1A"/>
          <w:sz w:val="24"/>
          <w:szCs w:val="24"/>
        </w:rPr>
        <w:footnoteReference w:id="35"/>
      </w:r>
      <w:r w:rsidRPr="00253A53">
        <w:rPr>
          <w:rFonts w:ascii="Times New Roman" w:hAnsi="Times New Roman" w:cs="Times New Roman"/>
          <w:color w:val="171717" w:themeColor="background2" w:themeShade="1A"/>
          <w:sz w:val="24"/>
          <w:szCs w:val="24"/>
        </w:rPr>
        <w:t xml:space="preserve"> Yet this Federal Court decision approves </w:t>
      </w:r>
      <w:r w:rsidRPr="00253A53">
        <w:rPr>
          <w:rFonts w:ascii="Times New Roman" w:hAnsi="Times New Roman" w:cs="Times New Roman"/>
          <w:i/>
          <w:color w:val="171717" w:themeColor="background2" w:themeShade="1A"/>
          <w:sz w:val="24"/>
          <w:szCs w:val="24"/>
        </w:rPr>
        <w:t>Hodkinson</w:t>
      </w:r>
      <w:r w:rsidRPr="00253A53">
        <w:rPr>
          <w:rFonts w:ascii="Times New Roman" w:hAnsi="Times New Roman" w:cs="Times New Roman"/>
          <w:color w:val="171717" w:themeColor="background2" w:themeShade="1A"/>
          <w:sz w:val="24"/>
          <w:szCs w:val="24"/>
        </w:rPr>
        <w:t xml:space="preserve"> for the general point that breach of </w:t>
      </w:r>
      <w:r w:rsidRPr="00253A53">
        <w:rPr>
          <w:rFonts w:ascii="Times New Roman" w:hAnsi="Times New Roman" w:cs="Times New Roman"/>
          <w:color w:val="171717" w:themeColor="background2" w:themeShade="1A"/>
          <w:sz w:val="24"/>
          <w:szCs w:val="24"/>
        </w:rPr>
        <w:lastRenderedPageBreak/>
        <w:t xml:space="preserve">the </w:t>
      </w:r>
      <w:r w:rsidRPr="00253A53">
        <w:rPr>
          <w:rFonts w:ascii="Times New Roman" w:hAnsi="Times New Roman" w:cs="Times New Roman"/>
          <w:sz w:val="24"/>
          <w:szCs w:val="24"/>
          <w:lang w:val="en"/>
        </w:rPr>
        <w:t>Disability Discrimination Act 1992 (Cth) (DDA)</w:t>
      </w:r>
      <w:r w:rsidRPr="00253A53">
        <w:rPr>
          <w:rFonts w:ascii="Times New Roman" w:hAnsi="Times New Roman" w:cs="Times New Roman"/>
          <w:color w:val="171717" w:themeColor="background2" w:themeShade="1A"/>
          <w:sz w:val="24"/>
          <w:szCs w:val="24"/>
        </w:rPr>
        <w:t xml:space="preserve"> does not necessarily establish that there is a contravention of Part 3-1, rather than the specific point regarding an obligation of</w:t>
      </w:r>
      <w:r w:rsidRPr="00253A53">
        <w:rPr>
          <w:rFonts w:ascii="Times New Roman" w:hAnsi="Times New Roman" w:cs="Times New Roman"/>
          <w:i/>
          <w:color w:val="171717" w:themeColor="background2" w:themeShade="1A"/>
          <w:sz w:val="24"/>
          <w:szCs w:val="24"/>
        </w:rPr>
        <w:t xml:space="preserve"> </w:t>
      </w:r>
      <w:r w:rsidRPr="00253A53">
        <w:rPr>
          <w:rFonts w:ascii="Times New Roman" w:hAnsi="Times New Roman" w:cs="Times New Roman"/>
          <w:color w:val="171717" w:themeColor="background2" w:themeShade="1A"/>
          <w:sz w:val="24"/>
          <w:szCs w:val="24"/>
        </w:rPr>
        <w:t>reasonable accommodation.</w:t>
      </w:r>
      <w:r w:rsidRPr="00253A53">
        <w:rPr>
          <w:rStyle w:val="FootnoteReference"/>
          <w:rFonts w:ascii="Times New Roman" w:hAnsi="Times New Roman" w:cs="Times New Roman"/>
          <w:color w:val="171717" w:themeColor="background2" w:themeShade="1A"/>
          <w:sz w:val="24"/>
          <w:szCs w:val="24"/>
        </w:rPr>
        <w:footnoteReference w:id="36"/>
      </w:r>
      <w:r w:rsidRPr="00253A53">
        <w:rPr>
          <w:rFonts w:ascii="Times New Roman" w:hAnsi="Times New Roman" w:cs="Times New Roman"/>
          <w:color w:val="171717" w:themeColor="background2" w:themeShade="1A"/>
          <w:sz w:val="24"/>
          <w:szCs w:val="24"/>
        </w:rPr>
        <w:t xml:space="preserve"> All but one of the four judgments dispose of the argument regarding reasonable accommodation and s 351 in 10 lines or less.</w:t>
      </w:r>
      <w:r w:rsidRPr="00253A53">
        <w:rPr>
          <w:rStyle w:val="FootnoteReference"/>
          <w:rFonts w:ascii="Times New Roman" w:hAnsi="Times New Roman" w:cs="Times New Roman"/>
          <w:color w:val="171717" w:themeColor="background2" w:themeShade="1A"/>
          <w:sz w:val="24"/>
          <w:szCs w:val="24"/>
        </w:rPr>
        <w:footnoteReference w:id="37"/>
      </w:r>
      <w:r w:rsidRPr="00253A53">
        <w:rPr>
          <w:rFonts w:ascii="Times New Roman" w:hAnsi="Times New Roman" w:cs="Times New Roman"/>
          <w:color w:val="171717" w:themeColor="background2" w:themeShade="1A"/>
          <w:sz w:val="24"/>
          <w:szCs w:val="24"/>
        </w:rPr>
        <w:t xml:space="preserve"> The most attention given to the question is contained in the judgment in </w:t>
      </w:r>
      <w:proofErr w:type="spellStart"/>
      <w:r w:rsidRPr="00253A53">
        <w:rPr>
          <w:rFonts w:ascii="Times New Roman" w:hAnsi="Times New Roman" w:cs="Times New Roman"/>
          <w:i/>
          <w:color w:val="171717" w:themeColor="background2" w:themeShade="1A"/>
          <w:sz w:val="24"/>
          <w:szCs w:val="24"/>
        </w:rPr>
        <w:t>Mikulic</w:t>
      </w:r>
      <w:proofErr w:type="spellEnd"/>
      <w:r w:rsidR="006C5B2F">
        <w:rPr>
          <w:rFonts w:ascii="Times New Roman" w:hAnsi="Times New Roman" w:cs="Times New Roman"/>
          <w:i/>
          <w:color w:val="171717" w:themeColor="background2" w:themeShade="1A"/>
          <w:sz w:val="24"/>
          <w:szCs w:val="24"/>
        </w:rPr>
        <w:t xml:space="preserve"> </w:t>
      </w:r>
      <w:r w:rsidR="006C5B2F" w:rsidRPr="006C5B2F">
        <w:rPr>
          <w:rFonts w:ascii="Times New Roman" w:hAnsi="Times New Roman" w:cs="Times New Roman"/>
          <w:i/>
          <w:color w:val="171717" w:themeColor="background2" w:themeShade="1A"/>
          <w:sz w:val="24"/>
          <w:szCs w:val="24"/>
        </w:rPr>
        <w:t>v Ecolab Pty Ltd</w:t>
      </w:r>
      <w:r w:rsidR="006C5B2F">
        <w:rPr>
          <w:rFonts w:ascii="Times New Roman" w:hAnsi="Times New Roman" w:cs="Times New Roman"/>
          <w:i/>
          <w:color w:val="171717" w:themeColor="background2" w:themeShade="1A"/>
          <w:sz w:val="24"/>
          <w:szCs w:val="24"/>
        </w:rPr>
        <w:t xml:space="preserve"> </w:t>
      </w:r>
      <w:r w:rsidR="006C5B2F">
        <w:rPr>
          <w:rFonts w:ascii="Times New Roman" w:hAnsi="Times New Roman" w:cs="Times New Roman"/>
          <w:iCs/>
          <w:color w:val="171717" w:themeColor="background2" w:themeShade="1A"/>
          <w:sz w:val="24"/>
          <w:szCs w:val="24"/>
        </w:rPr>
        <w:t>(</w:t>
      </w:r>
      <w:proofErr w:type="spellStart"/>
      <w:r w:rsidR="006C5B2F">
        <w:rPr>
          <w:rFonts w:ascii="Times New Roman" w:hAnsi="Times New Roman" w:cs="Times New Roman"/>
          <w:i/>
          <w:color w:val="171717" w:themeColor="background2" w:themeShade="1A"/>
          <w:sz w:val="24"/>
          <w:szCs w:val="24"/>
        </w:rPr>
        <w:t>Mikulic</w:t>
      </w:r>
      <w:proofErr w:type="spellEnd"/>
      <w:r w:rsidR="006C5B2F">
        <w:rPr>
          <w:rFonts w:ascii="Times New Roman" w:hAnsi="Times New Roman" w:cs="Times New Roman"/>
          <w:iCs/>
          <w:color w:val="171717" w:themeColor="background2" w:themeShade="1A"/>
          <w:sz w:val="24"/>
          <w:szCs w:val="24"/>
        </w:rPr>
        <w:t>)</w:t>
      </w:r>
      <w:r w:rsidRPr="00253A53">
        <w:rPr>
          <w:rFonts w:ascii="Times New Roman" w:hAnsi="Times New Roman" w:cs="Times New Roman"/>
          <w:color w:val="171717" w:themeColor="background2" w:themeShade="1A"/>
          <w:sz w:val="24"/>
          <w:szCs w:val="24"/>
        </w:rPr>
        <w:t xml:space="preserve">, which comprises 15 lines of the judgment (and is quoted in full below). </w:t>
      </w:r>
    </w:p>
    <w:p w14:paraId="320269AD" w14:textId="33E5E421" w:rsidR="00526B9C" w:rsidRDefault="00543F23" w:rsidP="002A6A9D">
      <w:pPr>
        <w:pStyle w:val="BodyText"/>
        <w:jc w:val="both"/>
        <w:rPr>
          <w:i w:val="0"/>
          <w:sz w:val="24"/>
          <w:szCs w:val="24"/>
        </w:rPr>
      </w:pPr>
      <w:r w:rsidRPr="00253A53">
        <w:rPr>
          <w:i w:val="0"/>
          <w:sz w:val="24"/>
          <w:szCs w:val="24"/>
        </w:rPr>
        <w:t xml:space="preserve">The earliest of the four decisions is the 2011 case of </w:t>
      </w:r>
      <w:r w:rsidRPr="00253A53">
        <w:rPr>
          <w:sz w:val="24"/>
          <w:szCs w:val="24"/>
        </w:rPr>
        <w:t>Hodkinson.</w:t>
      </w:r>
      <w:r w:rsidRPr="00253A53">
        <w:rPr>
          <w:rStyle w:val="FootnoteReference"/>
          <w:i w:val="0"/>
          <w:sz w:val="24"/>
          <w:szCs w:val="24"/>
        </w:rPr>
        <w:footnoteReference w:id="38"/>
      </w:r>
      <w:r w:rsidRPr="00253A53">
        <w:rPr>
          <w:i w:val="0"/>
          <w:sz w:val="24"/>
          <w:szCs w:val="24"/>
        </w:rPr>
        <w:t xml:space="preserve"> Here the court found that it was not necessary to consider the employee’s claim that the employer ought to have provided reasonable accommodation to her due to her disability, such accommodation to take the form of extending her </w:t>
      </w:r>
      <w:r w:rsidR="0004147E">
        <w:rPr>
          <w:i w:val="0"/>
          <w:sz w:val="24"/>
          <w:szCs w:val="24"/>
        </w:rPr>
        <w:t>w</w:t>
      </w:r>
      <w:r w:rsidRPr="00253A53">
        <w:rPr>
          <w:i w:val="0"/>
          <w:sz w:val="24"/>
          <w:szCs w:val="24"/>
        </w:rPr>
        <w:t xml:space="preserve">ork </w:t>
      </w:r>
      <w:r w:rsidR="0004147E">
        <w:rPr>
          <w:i w:val="0"/>
          <w:sz w:val="24"/>
          <w:szCs w:val="24"/>
        </w:rPr>
        <w:t>i</w:t>
      </w:r>
      <w:r w:rsidRPr="00253A53">
        <w:rPr>
          <w:i w:val="0"/>
          <w:sz w:val="24"/>
          <w:szCs w:val="24"/>
        </w:rPr>
        <w:t xml:space="preserve">mprovement </w:t>
      </w:r>
      <w:r w:rsidR="0004147E">
        <w:rPr>
          <w:i w:val="0"/>
          <w:sz w:val="24"/>
          <w:szCs w:val="24"/>
        </w:rPr>
        <w:t>p</w:t>
      </w:r>
      <w:r w:rsidRPr="00253A53">
        <w:rPr>
          <w:i w:val="0"/>
          <w:sz w:val="24"/>
          <w:szCs w:val="24"/>
        </w:rPr>
        <w:t xml:space="preserve">lan (WIP), and/or adjusting her targets. The court’s reasoning regarding s 351 was: </w:t>
      </w:r>
    </w:p>
    <w:p w14:paraId="0BD0F69A" w14:textId="77777777" w:rsidR="000A3C54" w:rsidRPr="00253A53" w:rsidRDefault="000A3C54" w:rsidP="002A6A9D">
      <w:pPr>
        <w:pStyle w:val="BodyText"/>
        <w:jc w:val="both"/>
        <w:rPr>
          <w:i w:val="0"/>
          <w:sz w:val="24"/>
          <w:szCs w:val="24"/>
        </w:rPr>
      </w:pPr>
    </w:p>
    <w:p w14:paraId="320269AE" w14:textId="00414F5E" w:rsidR="00526B9C" w:rsidRPr="00253A53" w:rsidRDefault="00543F23" w:rsidP="002A6A9D">
      <w:pPr>
        <w:pStyle w:val="BodyText"/>
        <w:ind w:left="720"/>
        <w:jc w:val="both"/>
        <w:rPr>
          <w:i w:val="0"/>
        </w:rPr>
      </w:pPr>
      <w:r w:rsidRPr="00253A53">
        <w:rPr>
          <w:i w:val="0"/>
          <w:iCs w:val="0"/>
          <w:lang w:val="en"/>
        </w:rPr>
        <w:t xml:space="preserve">As the definitions of </w:t>
      </w:r>
      <w:r w:rsidR="002726F5">
        <w:rPr>
          <w:i w:val="0"/>
          <w:iCs w:val="0"/>
          <w:lang w:val="en"/>
        </w:rPr>
        <w:t>‘</w:t>
      </w:r>
      <w:r w:rsidRPr="00253A53">
        <w:rPr>
          <w:i w:val="0"/>
          <w:iCs w:val="0"/>
          <w:lang w:val="en"/>
        </w:rPr>
        <w:t>discriminate</w:t>
      </w:r>
      <w:r w:rsidR="002726F5">
        <w:rPr>
          <w:i w:val="0"/>
          <w:iCs w:val="0"/>
          <w:lang w:val="en"/>
        </w:rPr>
        <w:t>’</w:t>
      </w:r>
      <w:r w:rsidRPr="00253A53">
        <w:rPr>
          <w:i w:val="0"/>
          <w:iCs w:val="0"/>
          <w:lang w:val="en"/>
        </w:rPr>
        <w:t xml:space="preserve"> in the </w:t>
      </w:r>
      <w:hyperlink r:id="rId11" w:history="1">
        <w:r w:rsidRPr="00253A53">
          <w:rPr>
            <w:i w:val="0"/>
            <w:lang w:val="en"/>
          </w:rPr>
          <w:t>Disability Discrimination Act</w:t>
        </w:r>
      </w:hyperlink>
      <w:r w:rsidRPr="00253A53">
        <w:rPr>
          <w:i w:val="0"/>
          <w:lang w:val="en"/>
        </w:rPr>
        <w:t xml:space="preserve"> </w:t>
      </w:r>
      <w:r w:rsidRPr="00253A53">
        <w:rPr>
          <w:i w:val="0"/>
          <w:iCs w:val="0"/>
          <w:lang w:val="en"/>
        </w:rPr>
        <w:t xml:space="preserve">do not inform the interpretation of s.351 and thus the availability of relief in respect of adverse action taken because of an employee’s disability, it is not necessary for the Court to consider the claimant’s claims under the </w:t>
      </w:r>
      <w:r w:rsidR="00A45FE8" w:rsidRPr="00253A53">
        <w:rPr>
          <w:i w:val="0"/>
          <w:iCs w:val="0"/>
          <w:lang w:val="en"/>
        </w:rPr>
        <w:t>[FW Act],</w:t>
      </w:r>
      <w:r w:rsidRPr="00253A53">
        <w:rPr>
          <w:i w:val="0"/>
          <w:iCs w:val="0"/>
          <w:lang w:val="en"/>
        </w:rPr>
        <w:t xml:space="preserve"> derived from or based on </w:t>
      </w:r>
      <w:hyperlink r:id="rId12" w:history="1">
        <w:r w:rsidRPr="00253A53">
          <w:rPr>
            <w:i w:val="0"/>
            <w:iCs w:val="0"/>
            <w:lang w:val="en"/>
          </w:rPr>
          <w:t>ss</w:t>
        </w:r>
        <w:r w:rsidR="00A851FD">
          <w:rPr>
            <w:i w:val="0"/>
            <w:iCs w:val="0"/>
            <w:lang w:val="en"/>
          </w:rPr>
          <w:t xml:space="preserve"> </w:t>
        </w:r>
        <w:r w:rsidRPr="00253A53">
          <w:rPr>
            <w:i w:val="0"/>
            <w:iCs w:val="0"/>
            <w:lang w:val="en"/>
          </w:rPr>
          <w:t>5</w:t>
        </w:r>
      </w:hyperlink>
      <w:r w:rsidRPr="00253A53">
        <w:rPr>
          <w:i w:val="0"/>
          <w:iCs w:val="0"/>
          <w:lang w:val="en"/>
        </w:rPr>
        <w:t xml:space="preserve"> and </w:t>
      </w:r>
      <w:hyperlink r:id="rId13" w:history="1">
        <w:r w:rsidRPr="00253A53">
          <w:rPr>
            <w:i w:val="0"/>
            <w:iCs w:val="0"/>
            <w:lang w:val="en"/>
          </w:rPr>
          <w:t>6</w:t>
        </w:r>
      </w:hyperlink>
      <w:r w:rsidRPr="00253A53">
        <w:rPr>
          <w:i w:val="0"/>
          <w:iCs w:val="0"/>
          <w:lang w:val="en"/>
        </w:rPr>
        <w:t xml:space="preserve"> of the </w:t>
      </w:r>
      <w:hyperlink r:id="rId14" w:history="1">
        <w:r w:rsidRPr="00253A53">
          <w:rPr>
            <w:i w:val="0"/>
            <w:lang w:val="en"/>
          </w:rPr>
          <w:t>Disability Discrimination Act</w:t>
        </w:r>
      </w:hyperlink>
      <w:r w:rsidRPr="00253A53">
        <w:rPr>
          <w:i w:val="0"/>
          <w:iCs w:val="0"/>
          <w:lang w:val="en"/>
        </w:rPr>
        <w:t xml:space="preserve">, that the respondent should have made </w:t>
      </w:r>
      <w:r w:rsidR="0004147E">
        <w:rPr>
          <w:i w:val="0"/>
          <w:iCs w:val="0"/>
          <w:lang w:val="en"/>
        </w:rPr>
        <w:t>‘</w:t>
      </w:r>
      <w:r w:rsidRPr="00253A53">
        <w:rPr>
          <w:i w:val="0"/>
          <w:iCs w:val="0"/>
          <w:lang w:val="en"/>
        </w:rPr>
        <w:t>reasonable adjustments</w:t>
      </w:r>
      <w:r w:rsidR="0004147E">
        <w:rPr>
          <w:i w:val="0"/>
          <w:iCs w:val="0"/>
          <w:lang w:val="en"/>
        </w:rPr>
        <w:t>’</w:t>
      </w:r>
      <w:r w:rsidRPr="00253A53">
        <w:rPr>
          <w:i w:val="0"/>
          <w:iCs w:val="0"/>
          <w:lang w:val="en"/>
        </w:rPr>
        <w:t xml:space="preserve"> for her by way of an extension of her WIP or an adjustment of her targets.</w:t>
      </w:r>
      <w:r w:rsidRPr="00253A53">
        <w:rPr>
          <w:rStyle w:val="FootnoteReference"/>
          <w:i w:val="0"/>
        </w:rPr>
        <w:footnoteReference w:id="39"/>
      </w:r>
      <w:r w:rsidRPr="00253A53">
        <w:rPr>
          <w:i w:val="0"/>
        </w:rPr>
        <w:t xml:space="preserve"> </w:t>
      </w:r>
    </w:p>
    <w:p w14:paraId="320269AF" w14:textId="77777777" w:rsidR="00526B9C" w:rsidRPr="00253A53" w:rsidRDefault="00526B9C" w:rsidP="002A6A9D">
      <w:pPr>
        <w:pStyle w:val="BodyText"/>
        <w:jc w:val="both"/>
        <w:rPr>
          <w:i w:val="0"/>
          <w:sz w:val="24"/>
          <w:szCs w:val="24"/>
        </w:rPr>
      </w:pPr>
    </w:p>
    <w:p w14:paraId="320269B0" w14:textId="6A91220C" w:rsidR="00526B9C" w:rsidRDefault="00543F23" w:rsidP="002A6A9D">
      <w:pPr>
        <w:pStyle w:val="BodyText"/>
        <w:jc w:val="both"/>
        <w:rPr>
          <w:i w:val="0"/>
          <w:sz w:val="24"/>
          <w:szCs w:val="24"/>
        </w:rPr>
      </w:pPr>
      <w:r w:rsidRPr="00253A53">
        <w:rPr>
          <w:sz w:val="24"/>
          <w:szCs w:val="24"/>
        </w:rPr>
        <w:t>Hodkinson</w:t>
      </w:r>
      <w:r w:rsidRPr="00253A53">
        <w:rPr>
          <w:i w:val="0"/>
          <w:sz w:val="24"/>
          <w:szCs w:val="24"/>
        </w:rPr>
        <w:t xml:space="preserve"> is the only decision that also looked at the question of reasonable accommodation in the context of s 342(1). The court held that as the claimant had no entitlement to an extension of her WIP, the fact that the employer chose not to extend it could not amount to ‘adverse action’ in the form of an ‘</w:t>
      </w:r>
      <w:proofErr w:type="spellStart"/>
      <w:r w:rsidRPr="00253A53">
        <w:rPr>
          <w:i w:val="0"/>
          <w:sz w:val="24"/>
          <w:szCs w:val="24"/>
        </w:rPr>
        <w:t>injur</w:t>
      </w:r>
      <w:proofErr w:type="spellEnd"/>
      <w:r w:rsidRPr="00253A53">
        <w:rPr>
          <w:i w:val="0"/>
          <w:sz w:val="24"/>
          <w:szCs w:val="24"/>
        </w:rPr>
        <w:t xml:space="preserve">[y]’ in her employment within the meaning of s 342(1) item 1(b). This is because the decision to not extend the WIP </w:t>
      </w:r>
    </w:p>
    <w:p w14:paraId="5CD417B9" w14:textId="77777777" w:rsidR="000A3C54" w:rsidRPr="00253A53" w:rsidRDefault="000A3C54" w:rsidP="002A6A9D">
      <w:pPr>
        <w:pStyle w:val="BodyText"/>
        <w:jc w:val="both"/>
        <w:rPr>
          <w:i w:val="0"/>
          <w:sz w:val="24"/>
          <w:szCs w:val="24"/>
        </w:rPr>
      </w:pPr>
    </w:p>
    <w:p w14:paraId="320269B1" w14:textId="494A180F" w:rsidR="00526B9C" w:rsidRPr="00253A53" w:rsidRDefault="00543F23" w:rsidP="002A6A9D">
      <w:pPr>
        <w:pStyle w:val="BodyText"/>
        <w:ind w:left="720"/>
        <w:jc w:val="both"/>
        <w:rPr>
          <w:i w:val="0"/>
          <w:lang w:val="en"/>
        </w:rPr>
      </w:pPr>
      <w:r w:rsidRPr="00253A53">
        <w:rPr>
          <w:i w:val="0"/>
          <w:lang w:val="en"/>
        </w:rPr>
        <w:t xml:space="preserve">did not deprive her of a practical incident of her employment or effect an injurious change to the way she had been treated up to that point. It was not an injury of a compensable kind. Consequently, unless the denial of an extension to the claimant’s WIP amounted to her being </w:t>
      </w:r>
      <w:r w:rsidR="0004147E">
        <w:rPr>
          <w:i w:val="0"/>
          <w:lang w:val="en"/>
        </w:rPr>
        <w:t>‘</w:t>
      </w:r>
      <w:r w:rsidRPr="00253A53">
        <w:rPr>
          <w:i w:val="0"/>
          <w:lang w:val="en"/>
        </w:rPr>
        <w:t>singled out</w:t>
      </w:r>
      <w:r w:rsidR="0004147E">
        <w:rPr>
          <w:i w:val="0"/>
          <w:lang w:val="en"/>
        </w:rPr>
        <w:t>’</w:t>
      </w:r>
      <w:r w:rsidRPr="00253A53">
        <w:rPr>
          <w:i w:val="0"/>
          <w:lang w:val="en"/>
        </w:rPr>
        <w:t>, it did not amount to an injury to her in her employment.</w:t>
      </w:r>
      <w:r w:rsidRPr="00253A53">
        <w:rPr>
          <w:rStyle w:val="FootnoteReference"/>
          <w:i w:val="0"/>
          <w:lang w:val="en"/>
        </w:rPr>
        <w:footnoteReference w:id="40"/>
      </w:r>
      <w:r w:rsidRPr="00253A53">
        <w:rPr>
          <w:i w:val="0"/>
          <w:lang w:val="en"/>
        </w:rPr>
        <w:t xml:space="preserve"> </w:t>
      </w:r>
    </w:p>
    <w:p w14:paraId="320269B2" w14:textId="77777777" w:rsidR="00526B9C" w:rsidRPr="00253A53" w:rsidRDefault="00526B9C" w:rsidP="002A6A9D">
      <w:pPr>
        <w:pStyle w:val="FootnoteText"/>
        <w:jc w:val="both"/>
        <w:rPr>
          <w:rFonts w:ascii="Times New Roman" w:hAnsi="Times New Roman" w:cs="Times New Roman"/>
          <w:sz w:val="24"/>
          <w:szCs w:val="24"/>
        </w:rPr>
      </w:pPr>
    </w:p>
    <w:p w14:paraId="320269B3" w14:textId="55FA763F" w:rsidR="00526B9C" w:rsidRPr="00253A53" w:rsidRDefault="00543F23" w:rsidP="002A6A9D">
      <w:pPr>
        <w:pStyle w:val="FootnoteText"/>
        <w:jc w:val="both"/>
        <w:rPr>
          <w:rFonts w:ascii="Times New Roman" w:hAnsi="Times New Roman" w:cs="Times New Roman"/>
          <w:i/>
          <w:sz w:val="24"/>
          <w:szCs w:val="24"/>
          <w:lang w:val="en"/>
        </w:rPr>
      </w:pPr>
      <w:r w:rsidRPr="00253A53">
        <w:rPr>
          <w:rFonts w:ascii="Times New Roman" w:hAnsi="Times New Roman" w:cs="Times New Roman"/>
          <w:sz w:val="24"/>
          <w:szCs w:val="24"/>
        </w:rPr>
        <w:t>The failure to accommodate does not appear to have been considered an ‘</w:t>
      </w:r>
      <w:r w:rsidRPr="00253A53">
        <w:rPr>
          <w:rFonts w:ascii="Times New Roman" w:hAnsi="Times New Roman" w:cs="Times New Roman"/>
          <w:sz w:val="24"/>
          <w:szCs w:val="24"/>
          <w:lang w:val="en"/>
        </w:rPr>
        <w:t xml:space="preserve">injury of a compensable kind’, even though it appears the employee may have had a credible claim under the DDA. Regarding </w:t>
      </w:r>
      <w:r w:rsidRPr="00253A53">
        <w:rPr>
          <w:rFonts w:ascii="Times New Roman" w:hAnsi="Times New Roman" w:cs="Times New Roman"/>
          <w:sz w:val="24"/>
          <w:szCs w:val="24"/>
        </w:rPr>
        <w:t>the concept of ‘singling out’, t</w:t>
      </w:r>
      <w:r w:rsidRPr="00253A53">
        <w:rPr>
          <w:rFonts w:ascii="Times New Roman" w:hAnsi="Times New Roman" w:cs="Times New Roman"/>
          <w:sz w:val="24"/>
          <w:szCs w:val="24"/>
          <w:lang w:val="en"/>
        </w:rPr>
        <w:t>he court determined that ‘</w:t>
      </w:r>
      <w:r w:rsidR="005E1827">
        <w:rPr>
          <w:rFonts w:ascii="Times New Roman" w:hAnsi="Times New Roman" w:cs="Times New Roman"/>
          <w:sz w:val="24"/>
          <w:szCs w:val="24"/>
          <w:lang w:val="en"/>
        </w:rPr>
        <w:t>[a]</w:t>
      </w:r>
      <w:proofErr w:type="spellStart"/>
      <w:r w:rsidRPr="00253A53">
        <w:rPr>
          <w:rFonts w:ascii="Times New Roman" w:hAnsi="Times New Roman" w:cs="Times New Roman"/>
          <w:sz w:val="24"/>
          <w:szCs w:val="24"/>
          <w:lang w:val="en"/>
        </w:rPr>
        <w:t>lthough</w:t>
      </w:r>
      <w:proofErr w:type="spellEnd"/>
      <w:r w:rsidRPr="00253A53">
        <w:rPr>
          <w:rFonts w:ascii="Times New Roman" w:hAnsi="Times New Roman" w:cs="Times New Roman"/>
          <w:sz w:val="24"/>
          <w:szCs w:val="24"/>
          <w:lang w:val="en"/>
        </w:rPr>
        <w:t xml:space="preserve"> it can be accepted that some of the claimant’s fellow probationers were permitted extensions on their WIPs, it has not been demonstrated that the decision to not extend the claimant’s WIP amounted to her being “singled out”’ in the sense required.</w:t>
      </w:r>
      <w:r w:rsidRPr="00253A53">
        <w:rPr>
          <w:rStyle w:val="FootnoteReference"/>
          <w:rFonts w:ascii="Times New Roman" w:hAnsi="Times New Roman" w:cs="Times New Roman"/>
          <w:sz w:val="24"/>
          <w:szCs w:val="24"/>
          <w:lang w:val="en"/>
        </w:rPr>
        <w:footnoteReference w:id="41"/>
      </w:r>
      <w:r w:rsidRPr="00253A53">
        <w:rPr>
          <w:rFonts w:ascii="Times New Roman" w:hAnsi="Times New Roman" w:cs="Times New Roman"/>
          <w:sz w:val="24"/>
          <w:szCs w:val="24"/>
          <w:lang w:val="en"/>
        </w:rPr>
        <w:t xml:space="preserve"> The Federal Magistrate stated that ‘</w:t>
      </w:r>
      <w:r w:rsidR="005E1827">
        <w:rPr>
          <w:rFonts w:ascii="Times New Roman" w:hAnsi="Times New Roman" w:cs="Times New Roman"/>
          <w:sz w:val="24"/>
          <w:szCs w:val="24"/>
          <w:lang w:val="en"/>
        </w:rPr>
        <w:t>[t]</w:t>
      </w:r>
      <w:r w:rsidRPr="00253A53">
        <w:rPr>
          <w:rFonts w:ascii="Times New Roman" w:hAnsi="Times New Roman" w:cs="Times New Roman"/>
          <w:sz w:val="24"/>
          <w:szCs w:val="24"/>
          <w:lang w:val="en"/>
        </w:rPr>
        <w:t xml:space="preserve">o conclude that an employee has been “singled out” requires not only a finding that the employee has been treated differently from other employees but also that the treatment in question was deliberately less </w:t>
      </w:r>
      <w:proofErr w:type="spellStart"/>
      <w:r w:rsidRPr="00253A53">
        <w:rPr>
          <w:rFonts w:ascii="Times New Roman" w:hAnsi="Times New Roman" w:cs="Times New Roman"/>
          <w:sz w:val="24"/>
          <w:szCs w:val="24"/>
          <w:lang w:val="en"/>
        </w:rPr>
        <w:t>favourable</w:t>
      </w:r>
      <w:proofErr w:type="spellEnd"/>
      <w:r w:rsidRPr="00253A53">
        <w:rPr>
          <w:rFonts w:ascii="Times New Roman" w:hAnsi="Times New Roman" w:cs="Times New Roman"/>
          <w:sz w:val="24"/>
          <w:szCs w:val="24"/>
          <w:lang w:val="en"/>
        </w:rPr>
        <w:t xml:space="preserve"> than the treatment of other employees.’</w:t>
      </w:r>
      <w:r w:rsidRPr="00253A53">
        <w:rPr>
          <w:rStyle w:val="FootnoteReference"/>
          <w:rFonts w:ascii="Times New Roman" w:hAnsi="Times New Roman" w:cs="Times New Roman"/>
          <w:sz w:val="24"/>
          <w:szCs w:val="24"/>
          <w:lang w:val="en"/>
        </w:rPr>
        <w:footnoteReference w:id="42"/>
      </w:r>
      <w:r w:rsidRPr="00253A53">
        <w:rPr>
          <w:rFonts w:ascii="Times New Roman" w:hAnsi="Times New Roman" w:cs="Times New Roman"/>
          <w:sz w:val="24"/>
          <w:szCs w:val="24"/>
          <w:lang w:val="en"/>
        </w:rPr>
        <w:t xml:space="preserve"> The Federal Magistrate expressed the view that as the claimant had not brought forward evidence that went to singling out in this sense, the lack of evidence disposed of this argument. It also disposed of the argument that the employer had engaged in ‘adverse action’ in the form of </w:t>
      </w:r>
      <w:r w:rsidRPr="00253A53">
        <w:rPr>
          <w:rFonts w:ascii="Times New Roman" w:hAnsi="Times New Roman" w:cs="Times New Roman"/>
          <w:sz w:val="24"/>
          <w:szCs w:val="24"/>
          <w:lang w:val="en"/>
        </w:rPr>
        <w:lastRenderedPageBreak/>
        <w:t xml:space="preserve">‘discriminates between’ the claimant and other employees (s 342(1) item 1(d)), as the court interpreted this item as arising where ‘an employer [was] deliberately treating an employee, or a group of employees, less </w:t>
      </w:r>
      <w:proofErr w:type="spellStart"/>
      <w:r w:rsidRPr="00253A53">
        <w:rPr>
          <w:rFonts w:ascii="Times New Roman" w:hAnsi="Times New Roman" w:cs="Times New Roman"/>
          <w:sz w:val="24"/>
          <w:szCs w:val="24"/>
          <w:lang w:val="en"/>
        </w:rPr>
        <w:t>favourably</w:t>
      </w:r>
      <w:proofErr w:type="spellEnd"/>
      <w:r w:rsidRPr="00253A53">
        <w:rPr>
          <w:rFonts w:ascii="Times New Roman" w:hAnsi="Times New Roman" w:cs="Times New Roman"/>
          <w:sz w:val="24"/>
          <w:szCs w:val="24"/>
          <w:lang w:val="en"/>
        </w:rPr>
        <w:t xml:space="preserve"> than others of its employees’.</w:t>
      </w:r>
      <w:r w:rsidRPr="00253A53">
        <w:rPr>
          <w:rStyle w:val="FootnoteReference"/>
          <w:rFonts w:ascii="Times New Roman" w:hAnsi="Times New Roman" w:cs="Times New Roman"/>
          <w:sz w:val="24"/>
          <w:szCs w:val="24"/>
          <w:lang w:val="en"/>
        </w:rPr>
        <w:footnoteReference w:id="43"/>
      </w:r>
      <w:r w:rsidRPr="00253A53">
        <w:rPr>
          <w:rFonts w:ascii="Times New Roman" w:hAnsi="Times New Roman" w:cs="Times New Roman"/>
          <w:sz w:val="24"/>
          <w:szCs w:val="24"/>
          <w:lang w:val="en"/>
        </w:rPr>
        <w:t xml:space="preserve">  </w:t>
      </w:r>
    </w:p>
    <w:p w14:paraId="320269B4" w14:textId="77777777" w:rsidR="00526B9C" w:rsidRPr="00253A53" w:rsidRDefault="00526B9C" w:rsidP="002A6A9D">
      <w:pPr>
        <w:pStyle w:val="BodyText"/>
        <w:jc w:val="both"/>
        <w:rPr>
          <w:i w:val="0"/>
          <w:sz w:val="24"/>
          <w:szCs w:val="24"/>
          <w:lang w:val="en"/>
        </w:rPr>
      </w:pPr>
    </w:p>
    <w:p w14:paraId="320269B5" w14:textId="04973A6A" w:rsidR="00526B9C" w:rsidRPr="00253A53" w:rsidRDefault="00543F23" w:rsidP="002A6A9D">
      <w:pPr>
        <w:pStyle w:val="BodyText"/>
        <w:jc w:val="both"/>
        <w:rPr>
          <w:i w:val="0"/>
          <w:sz w:val="24"/>
          <w:szCs w:val="24"/>
        </w:rPr>
      </w:pPr>
      <w:r w:rsidRPr="00253A53">
        <w:rPr>
          <w:i w:val="0"/>
          <w:sz w:val="24"/>
          <w:szCs w:val="24"/>
          <w:lang w:val="en"/>
        </w:rPr>
        <w:t>In terms of the form of ‘adverse action’ of ‘</w:t>
      </w:r>
      <w:proofErr w:type="spellStart"/>
      <w:r w:rsidRPr="00253A53">
        <w:rPr>
          <w:i w:val="0"/>
          <w:sz w:val="24"/>
          <w:szCs w:val="24"/>
          <w:lang w:val="en"/>
        </w:rPr>
        <w:t>prejud</w:t>
      </w:r>
      <w:proofErr w:type="spellEnd"/>
      <w:r w:rsidRPr="00253A53">
        <w:rPr>
          <w:i w:val="0"/>
          <w:sz w:val="24"/>
          <w:szCs w:val="24"/>
          <w:lang w:val="en"/>
        </w:rPr>
        <w:t>[</w:t>
      </w:r>
      <w:proofErr w:type="spellStart"/>
      <w:r w:rsidRPr="00253A53">
        <w:rPr>
          <w:i w:val="0"/>
          <w:sz w:val="24"/>
          <w:szCs w:val="24"/>
          <w:lang w:val="en"/>
        </w:rPr>
        <w:t>icial</w:t>
      </w:r>
      <w:proofErr w:type="spellEnd"/>
      <w:r w:rsidRPr="00253A53">
        <w:rPr>
          <w:i w:val="0"/>
          <w:sz w:val="24"/>
          <w:szCs w:val="24"/>
          <w:lang w:val="en"/>
        </w:rPr>
        <w:t xml:space="preserve">]’ alteration of the position of the claimant ( s 342(1) item 1(c)), the methodology in </w:t>
      </w:r>
      <w:r w:rsidRPr="00253A53">
        <w:rPr>
          <w:sz w:val="24"/>
          <w:szCs w:val="24"/>
          <w:lang w:val="en"/>
        </w:rPr>
        <w:t>Hodkinson</w:t>
      </w:r>
      <w:r w:rsidRPr="00253A53">
        <w:rPr>
          <w:i w:val="0"/>
          <w:sz w:val="24"/>
          <w:szCs w:val="24"/>
          <w:lang w:val="en"/>
        </w:rPr>
        <w:t xml:space="preserve"> was to ‘identify and compare her “position” before the decision to not extend the WIP with her position after that decision, and then to determine whether there had been an alteration to her detriment as a result of that decision</w:t>
      </w:r>
      <w:r w:rsidR="00CA689E">
        <w:rPr>
          <w:i w:val="0"/>
          <w:sz w:val="24"/>
          <w:szCs w:val="24"/>
          <w:lang w:val="en"/>
        </w:rPr>
        <w:t>’</w:t>
      </w:r>
      <w:r w:rsidRPr="00253A53">
        <w:rPr>
          <w:i w:val="0"/>
          <w:sz w:val="24"/>
          <w:szCs w:val="24"/>
          <w:lang w:val="en"/>
        </w:rPr>
        <w:t>.</w:t>
      </w:r>
      <w:r w:rsidRPr="00253A53">
        <w:rPr>
          <w:rStyle w:val="FootnoteReference"/>
          <w:i w:val="0"/>
          <w:sz w:val="24"/>
          <w:szCs w:val="24"/>
          <w:lang w:val="en"/>
        </w:rPr>
        <w:footnoteReference w:id="44"/>
      </w:r>
      <w:r w:rsidRPr="00253A53">
        <w:rPr>
          <w:i w:val="0"/>
          <w:sz w:val="24"/>
          <w:szCs w:val="24"/>
          <w:lang w:val="en"/>
        </w:rPr>
        <w:t xml:space="preserve"> The court concluded that the claimant’s position had indeed been altered to her ‘prejudice’ ‘because it resulted in her position after the decision being less advantageous than her position had been before it’,</w:t>
      </w:r>
      <w:r w:rsidRPr="00253A53">
        <w:rPr>
          <w:rStyle w:val="FootnoteReference"/>
          <w:i w:val="0"/>
          <w:sz w:val="24"/>
          <w:szCs w:val="24"/>
          <w:lang w:val="en"/>
        </w:rPr>
        <w:footnoteReference w:id="45"/>
      </w:r>
      <w:r w:rsidRPr="00253A53">
        <w:rPr>
          <w:i w:val="0"/>
          <w:sz w:val="24"/>
          <w:szCs w:val="24"/>
          <w:lang w:val="en"/>
        </w:rPr>
        <w:t xml:space="preserve"> yet this was not done ‘because’ of her disability, and so the required causal link was absent.</w:t>
      </w:r>
      <w:r w:rsidRPr="00253A53">
        <w:rPr>
          <w:rStyle w:val="FootnoteReference"/>
          <w:i w:val="0"/>
          <w:sz w:val="24"/>
          <w:szCs w:val="24"/>
          <w:lang w:val="en"/>
        </w:rPr>
        <w:footnoteReference w:id="46"/>
      </w:r>
      <w:r w:rsidRPr="00253A53">
        <w:rPr>
          <w:i w:val="0"/>
          <w:sz w:val="24"/>
          <w:szCs w:val="24"/>
          <w:lang w:val="en"/>
        </w:rPr>
        <w:t xml:space="preserve"> The claimant’s application was dismissed. </w:t>
      </w:r>
    </w:p>
    <w:p w14:paraId="320269B6" w14:textId="77777777" w:rsidR="00526B9C" w:rsidRPr="00253A53" w:rsidRDefault="00526B9C" w:rsidP="002A6A9D">
      <w:pPr>
        <w:pStyle w:val="BodyText"/>
        <w:jc w:val="both"/>
        <w:rPr>
          <w:i w:val="0"/>
          <w:sz w:val="24"/>
          <w:szCs w:val="24"/>
        </w:rPr>
      </w:pPr>
    </w:p>
    <w:p w14:paraId="320269B7" w14:textId="77777777" w:rsidR="00526B9C" w:rsidRPr="00253A53" w:rsidRDefault="00543F23" w:rsidP="002A6A9D">
      <w:pPr>
        <w:pStyle w:val="FootnoteText"/>
        <w:jc w:val="both"/>
        <w:rPr>
          <w:rFonts w:ascii="Times New Roman" w:hAnsi="Times New Roman" w:cs="Times New Roman"/>
          <w:sz w:val="24"/>
          <w:szCs w:val="24"/>
        </w:rPr>
      </w:pPr>
      <w:r w:rsidRPr="00253A53">
        <w:rPr>
          <w:rFonts w:ascii="Times New Roman" w:hAnsi="Times New Roman" w:cs="Times New Roman"/>
          <w:sz w:val="24"/>
          <w:szCs w:val="24"/>
        </w:rPr>
        <w:t>Other clear statements to the effect that Part 3-1 does not impose any obligation on employers to accommodate appear in judgments in 2015 and 2019.</w:t>
      </w:r>
      <w:r w:rsidRPr="00253A53">
        <w:rPr>
          <w:rStyle w:val="FootnoteReference"/>
          <w:rFonts w:ascii="Times New Roman" w:hAnsi="Times New Roman" w:cs="Times New Roman"/>
          <w:sz w:val="24"/>
          <w:szCs w:val="24"/>
        </w:rPr>
        <w:footnoteReference w:id="47"/>
      </w:r>
      <w:r w:rsidRPr="00253A53">
        <w:rPr>
          <w:rFonts w:ascii="Times New Roman" w:hAnsi="Times New Roman" w:cs="Times New Roman"/>
          <w:sz w:val="24"/>
          <w:szCs w:val="24"/>
        </w:rPr>
        <w:t xml:space="preserve"> In the 2015 decision the judge said (without citing authority) that ‘[s]</w:t>
      </w:r>
      <w:proofErr w:type="spellStart"/>
      <w:r w:rsidRPr="00253A53">
        <w:rPr>
          <w:rFonts w:ascii="Times New Roman" w:hAnsi="Times New Roman" w:cs="Times New Roman"/>
          <w:sz w:val="24"/>
          <w:szCs w:val="24"/>
        </w:rPr>
        <w:t>ection</w:t>
      </w:r>
      <w:proofErr w:type="spellEnd"/>
      <w:r w:rsidRPr="00253A53">
        <w:rPr>
          <w:rFonts w:ascii="Times New Roman" w:hAnsi="Times New Roman" w:cs="Times New Roman"/>
          <w:sz w:val="24"/>
          <w:szCs w:val="24"/>
        </w:rPr>
        <w:t xml:space="preserve"> 351 … prohibits adverse action by reason of certain characteristics of an employee.  It does not impose a positive obligation on an employer to accommodate an employee who is physically or mentally unable to do all of the elements of his or her job.’</w:t>
      </w:r>
      <w:r w:rsidRPr="00253A53">
        <w:rPr>
          <w:rStyle w:val="FootnoteReference"/>
          <w:rFonts w:ascii="Times New Roman" w:hAnsi="Times New Roman" w:cs="Times New Roman"/>
          <w:sz w:val="24"/>
          <w:szCs w:val="24"/>
        </w:rPr>
        <w:footnoteReference w:id="48"/>
      </w:r>
      <w:r w:rsidRPr="00253A53">
        <w:rPr>
          <w:rFonts w:ascii="Times New Roman" w:hAnsi="Times New Roman" w:cs="Times New Roman"/>
          <w:sz w:val="24"/>
          <w:szCs w:val="24"/>
        </w:rPr>
        <w:t xml:space="preserve"> </w:t>
      </w:r>
    </w:p>
    <w:p w14:paraId="320269B8" w14:textId="77777777" w:rsidR="00526B9C" w:rsidRPr="00253A53" w:rsidRDefault="00526B9C" w:rsidP="002A6A9D">
      <w:pPr>
        <w:pStyle w:val="FootnoteText"/>
        <w:jc w:val="both"/>
        <w:rPr>
          <w:rFonts w:ascii="Times New Roman" w:hAnsi="Times New Roman" w:cs="Times New Roman"/>
          <w:sz w:val="24"/>
          <w:szCs w:val="24"/>
        </w:rPr>
      </w:pPr>
    </w:p>
    <w:p w14:paraId="320269B9" w14:textId="07D38A3C" w:rsidR="00526B9C" w:rsidRPr="00253A53" w:rsidRDefault="00543F23" w:rsidP="002A6A9D">
      <w:pPr>
        <w:pStyle w:val="FootnoteText"/>
        <w:jc w:val="both"/>
        <w:rPr>
          <w:rFonts w:ascii="Times New Roman" w:hAnsi="Times New Roman" w:cs="Times New Roman"/>
          <w:i/>
          <w:sz w:val="24"/>
          <w:szCs w:val="24"/>
        </w:rPr>
      </w:pPr>
      <w:r w:rsidRPr="00253A53">
        <w:rPr>
          <w:rFonts w:ascii="Times New Roman" w:hAnsi="Times New Roman" w:cs="Times New Roman"/>
          <w:sz w:val="24"/>
          <w:szCs w:val="24"/>
        </w:rPr>
        <w:t xml:space="preserve">The longest discussion of accommodation and s 351 is contained in a 2017 judgment. The claimant </w:t>
      </w:r>
      <w:r w:rsidR="007A511F" w:rsidRPr="00253A53">
        <w:rPr>
          <w:rFonts w:ascii="Times New Roman" w:hAnsi="Times New Roman" w:cs="Times New Roman"/>
          <w:sz w:val="24"/>
          <w:szCs w:val="24"/>
        </w:rPr>
        <w:t>—</w:t>
      </w:r>
      <w:r w:rsidRPr="00253A53">
        <w:rPr>
          <w:rFonts w:ascii="Times New Roman" w:hAnsi="Times New Roman" w:cs="Times New Roman"/>
          <w:sz w:val="24"/>
          <w:szCs w:val="24"/>
        </w:rPr>
        <w:t xml:space="preserve"> Ms </w:t>
      </w:r>
      <w:proofErr w:type="spellStart"/>
      <w:r w:rsidRPr="00253A53">
        <w:rPr>
          <w:rFonts w:ascii="Times New Roman" w:hAnsi="Times New Roman" w:cs="Times New Roman"/>
          <w:sz w:val="24"/>
          <w:szCs w:val="24"/>
        </w:rPr>
        <w:t>Mikulic</w:t>
      </w:r>
      <w:proofErr w:type="spellEnd"/>
      <w:r w:rsidRPr="00253A53">
        <w:rPr>
          <w:rFonts w:ascii="Times New Roman" w:hAnsi="Times New Roman" w:cs="Times New Roman"/>
          <w:sz w:val="24"/>
          <w:szCs w:val="24"/>
        </w:rPr>
        <w:t xml:space="preserve"> </w:t>
      </w:r>
      <w:r w:rsidR="007A511F" w:rsidRPr="00253A53">
        <w:rPr>
          <w:rFonts w:ascii="Times New Roman" w:hAnsi="Times New Roman" w:cs="Times New Roman"/>
          <w:sz w:val="24"/>
          <w:szCs w:val="24"/>
        </w:rPr>
        <w:t xml:space="preserve">— </w:t>
      </w:r>
      <w:r w:rsidRPr="00253A53">
        <w:rPr>
          <w:rFonts w:ascii="Times New Roman" w:hAnsi="Times New Roman" w:cs="Times New Roman"/>
          <w:sz w:val="24"/>
          <w:szCs w:val="24"/>
        </w:rPr>
        <w:t xml:space="preserve"> had injured her neck at work and sought that changes be made to the height of the work benches in the laboratory in which she was located, in order to assist her return to work and to avoid further</w:t>
      </w:r>
      <w:r w:rsidR="00DF382F" w:rsidRPr="00253A53">
        <w:rPr>
          <w:rFonts w:ascii="Times New Roman" w:hAnsi="Times New Roman" w:cs="Times New Roman"/>
          <w:sz w:val="24"/>
          <w:szCs w:val="24"/>
        </w:rPr>
        <w:t xml:space="preserve"> </w:t>
      </w:r>
      <w:r w:rsidRPr="00253A53">
        <w:rPr>
          <w:rFonts w:ascii="Times New Roman" w:hAnsi="Times New Roman" w:cs="Times New Roman"/>
          <w:sz w:val="24"/>
          <w:szCs w:val="24"/>
        </w:rPr>
        <w:t>neck injuries.</w:t>
      </w:r>
      <w:r w:rsidRPr="00253A53">
        <w:rPr>
          <w:rStyle w:val="FootnoteReference"/>
          <w:rFonts w:ascii="Times New Roman" w:hAnsi="Times New Roman" w:cs="Times New Roman"/>
          <w:sz w:val="24"/>
          <w:szCs w:val="24"/>
        </w:rPr>
        <w:footnoteReference w:id="49"/>
      </w:r>
      <w:r w:rsidRPr="00253A53">
        <w:rPr>
          <w:rFonts w:ascii="Times New Roman" w:hAnsi="Times New Roman" w:cs="Times New Roman"/>
          <w:sz w:val="24"/>
          <w:szCs w:val="24"/>
        </w:rPr>
        <w:t xml:space="preserve"> Some modifications were made by the employer, although not the ones recommended by the first occupational therapist allocated to Ms </w:t>
      </w:r>
      <w:proofErr w:type="spellStart"/>
      <w:r w:rsidRPr="00253A53">
        <w:rPr>
          <w:rFonts w:ascii="Times New Roman" w:hAnsi="Times New Roman" w:cs="Times New Roman"/>
          <w:sz w:val="24"/>
          <w:szCs w:val="24"/>
        </w:rPr>
        <w:t>Mikulic</w:t>
      </w:r>
      <w:proofErr w:type="spellEnd"/>
      <w:r w:rsidRPr="00253A53">
        <w:rPr>
          <w:rFonts w:ascii="Times New Roman" w:hAnsi="Times New Roman" w:cs="Times New Roman"/>
          <w:sz w:val="24"/>
          <w:szCs w:val="24"/>
        </w:rPr>
        <w:t xml:space="preserve">. Her employer’s refusal to make those modifications was not seen as relevant to the question of whether there had been a contravention of s 351(1). The (entire) reasoning of the court on this question was: </w:t>
      </w:r>
    </w:p>
    <w:p w14:paraId="7CB47EED" w14:textId="77777777" w:rsidR="00072FAC" w:rsidRPr="00253A53" w:rsidRDefault="00072FAC" w:rsidP="002A6A9D">
      <w:pPr>
        <w:pStyle w:val="BodyText"/>
        <w:ind w:left="720"/>
        <w:jc w:val="both"/>
        <w:rPr>
          <w:i w:val="0"/>
          <w:sz w:val="24"/>
          <w:szCs w:val="24"/>
        </w:rPr>
      </w:pPr>
    </w:p>
    <w:p w14:paraId="320269BA" w14:textId="31A5EFA2" w:rsidR="00526B9C" w:rsidRPr="00253A53" w:rsidRDefault="00543F23" w:rsidP="002A6A9D">
      <w:pPr>
        <w:pStyle w:val="BodyText"/>
        <w:ind w:left="720"/>
        <w:jc w:val="both"/>
        <w:rPr>
          <w:i w:val="0"/>
        </w:rPr>
      </w:pPr>
      <w:r w:rsidRPr="00253A53">
        <w:rPr>
          <w:i w:val="0"/>
        </w:rPr>
        <w:t xml:space="preserve">I accept that Mrs </w:t>
      </w:r>
      <w:proofErr w:type="spellStart"/>
      <w:r w:rsidRPr="00253A53">
        <w:rPr>
          <w:i w:val="0"/>
        </w:rPr>
        <w:t>Mikulic’s</w:t>
      </w:r>
      <w:proofErr w:type="spellEnd"/>
      <w:r w:rsidRPr="00253A53">
        <w:rPr>
          <w:i w:val="0"/>
        </w:rPr>
        <w:t xml:space="preserve"> neck injury affected her capacity to work and should be considered a disability.  However, the existence of that disability did not have the effect of making any obligations which Ecolab might have had under the Disability Discrimination Act 1992 (</w:t>
      </w:r>
      <w:r w:rsidR="00656296">
        <w:rPr>
          <w:i w:val="0"/>
        </w:rPr>
        <w:t>‘</w:t>
      </w:r>
      <w:r w:rsidRPr="00253A53">
        <w:rPr>
          <w:i w:val="0"/>
        </w:rPr>
        <w:t>DDA</w:t>
      </w:r>
      <w:r w:rsidR="00656296">
        <w:rPr>
          <w:i w:val="0"/>
        </w:rPr>
        <w:t>’</w:t>
      </w:r>
      <w:r w:rsidRPr="00253A53">
        <w:rPr>
          <w:i w:val="0"/>
        </w:rPr>
        <w:t xml:space="preserve">) enforceable under the FW Act:  Hodkinson v Commonwealth (2011) 248 FLR 409 at 442-443 [138]-[143], approved in </w:t>
      </w:r>
      <w:proofErr w:type="spellStart"/>
      <w:r w:rsidRPr="00253A53">
        <w:rPr>
          <w:i w:val="0"/>
        </w:rPr>
        <w:t>RailPro</w:t>
      </w:r>
      <w:proofErr w:type="spellEnd"/>
      <w:r w:rsidRPr="00253A53">
        <w:rPr>
          <w:i w:val="0"/>
        </w:rPr>
        <w:t xml:space="preserve"> Services Pty Ltd v </w:t>
      </w:r>
      <w:proofErr w:type="spellStart"/>
      <w:r w:rsidRPr="00253A53">
        <w:rPr>
          <w:i w:val="0"/>
        </w:rPr>
        <w:t>Flavel</w:t>
      </w:r>
      <w:proofErr w:type="spellEnd"/>
      <w:r w:rsidRPr="00253A53">
        <w:rPr>
          <w:i w:val="0"/>
        </w:rPr>
        <w:t xml:space="preserve"> (2015) 242 FCR 424 at 456 [114].  Consequently, Mrs </w:t>
      </w:r>
      <w:proofErr w:type="spellStart"/>
      <w:r w:rsidRPr="00253A53">
        <w:rPr>
          <w:i w:val="0"/>
        </w:rPr>
        <w:t>Mikulic’s</w:t>
      </w:r>
      <w:proofErr w:type="spellEnd"/>
      <w:r w:rsidRPr="00253A53">
        <w:rPr>
          <w:i w:val="0"/>
        </w:rPr>
        <w:t xml:space="preserve"> allegation that Ecolab breached s.351 of the </w:t>
      </w:r>
      <w:r w:rsidR="00DE362C" w:rsidRPr="00253A53">
        <w:rPr>
          <w:i w:val="0"/>
        </w:rPr>
        <w:t>[FW Act]</w:t>
      </w:r>
      <w:r w:rsidRPr="00253A53">
        <w:rPr>
          <w:i w:val="0"/>
        </w:rPr>
        <w:t xml:space="preserve"> because it did not make </w:t>
      </w:r>
      <w:r w:rsidR="00656296">
        <w:rPr>
          <w:i w:val="0"/>
        </w:rPr>
        <w:t>‘</w:t>
      </w:r>
      <w:r w:rsidRPr="00253A53">
        <w:rPr>
          <w:i w:val="0"/>
        </w:rPr>
        <w:t>reasonable accommodation</w:t>
      </w:r>
      <w:r w:rsidR="00656296">
        <w:rPr>
          <w:i w:val="0"/>
        </w:rPr>
        <w:t>’</w:t>
      </w:r>
      <w:r w:rsidRPr="00253A53">
        <w:rPr>
          <w:i w:val="0"/>
        </w:rPr>
        <w:t xml:space="preserve"> for that disability, which I take to be a reference to the right to reasonable adjustments under the DDA, is misconceived.  Such an allegation does not, in its terms, engage any rights associated with s.351 and so that allegation will be dismissed.</w:t>
      </w:r>
      <w:r w:rsidRPr="00253A53">
        <w:rPr>
          <w:rStyle w:val="FootnoteReference"/>
          <w:i w:val="0"/>
        </w:rPr>
        <w:footnoteReference w:id="50"/>
      </w:r>
      <w:r w:rsidRPr="00253A53">
        <w:rPr>
          <w:i w:val="0"/>
        </w:rPr>
        <w:t xml:space="preserve"> </w:t>
      </w:r>
    </w:p>
    <w:p w14:paraId="320269BB" w14:textId="77777777" w:rsidR="00526B9C" w:rsidRPr="00253A53" w:rsidRDefault="00526B9C" w:rsidP="002A6A9D">
      <w:pPr>
        <w:jc w:val="both"/>
        <w:rPr>
          <w:rFonts w:ascii="Times New Roman" w:hAnsi="Times New Roman" w:cs="Times New Roman"/>
          <w:sz w:val="24"/>
          <w:szCs w:val="24"/>
        </w:rPr>
      </w:pPr>
    </w:p>
    <w:p w14:paraId="320269BC" w14:textId="77777777" w:rsidR="00526B9C" w:rsidRPr="00253A53" w:rsidRDefault="00543F23" w:rsidP="002A6A9D">
      <w:pPr>
        <w:jc w:val="both"/>
        <w:rPr>
          <w:rFonts w:ascii="Times New Roman" w:hAnsi="Times New Roman" w:cs="Times New Roman"/>
          <w:sz w:val="24"/>
          <w:szCs w:val="24"/>
        </w:rPr>
      </w:pPr>
      <w:r w:rsidRPr="00253A53">
        <w:rPr>
          <w:rFonts w:ascii="Times New Roman" w:hAnsi="Times New Roman" w:cs="Times New Roman"/>
          <w:sz w:val="24"/>
          <w:szCs w:val="24"/>
        </w:rPr>
        <w:t xml:space="preserve">These four decisions on the scope of Part 3-1 canvass solely the question of reasonable accommodation or adjustment in relation to disability, rejecting that possible interpretation of the legislation. The far </w:t>
      </w:r>
      <w:r w:rsidRPr="00253A53">
        <w:rPr>
          <w:rFonts w:ascii="Times New Roman" w:hAnsi="Times New Roman" w:cs="Times New Roman"/>
          <w:sz w:val="24"/>
          <w:szCs w:val="24"/>
        </w:rPr>
        <w:lastRenderedPageBreak/>
        <w:t>less settled principle of reasonable accommodation in relation to carer or family responsibilities, or indeed other attributes, has not yet arisen in the cases under Part 3-1. Of the four judgments, three appear to discuss the question of reasonable accommodation solely in relation to s 351(1), whereas arguably s 342(1) is the more obvious location where an obligation of reasonable accommodation might arise, rather than s 351(1) itself which states only that an employer must not take ‘adverse action’ against a person because of the person’s race, sex etc. In contrast, s 342(1) provides an articulation of the meaning of ‘adverse action’.</w:t>
      </w:r>
    </w:p>
    <w:p w14:paraId="320269BD" w14:textId="45E6EF1F" w:rsidR="00526B9C" w:rsidRPr="00253A53" w:rsidRDefault="00543F23" w:rsidP="002A6A9D">
      <w:pPr>
        <w:jc w:val="both"/>
        <w:rPr>
          <w:rFonts w:ascii="Times New Roman" w:hAnsi="Times New Roman" w:cs="Times New Roman"/>
          <w:sz w:val="24"/>
          <w:szCs w:val="24"/>
        </w:rPr>
      </w:pPr>
      <w:r w:rsidRPr="00253A53">
        <w:rPr>
          <w:rFonts w:ascii="Times New Roman" w:hAnsi="Times New Roman" w:cs="Times New Roman"/>
          <w:sz w:val="24"/>
          <w:szCs w:val="24"/>
        </w:rPr>
        <w:t>The four decisions represent 10 years of judicial consideration of Part 3-1 on the question of reasonable accommodation. They point to the need to amend the FW</w:t>
      </w:r>
      <w:r w:rsidR="00DE362C" w:rsidRPr="00253A53">
        <w:rPr>
          <w:rFonts w:ascii="Times New Roman" w:hAnsi="Times New Roman" w:cs="Times New Roman"/>
          <w:sz w:val="24"/>
          <w:szCs w:val="24"/>
        </w:rPr>
        <w:t xml:space="preserve"> </w:t>
      </w:r>
      <w:r w:rsidRPr="00253A53">
        <w:rPr>
          <w:rFonts w:ascii="Times New Roman" w:hAnsi="Times New Roman" w:cs="Times New Roman"/>
          <w:sz w:val="24"/>
          <w:szCs w:val="24"/>
        </w:rPr>
        <w:t>A</w:t>
      </w:r>
      <w:r w:rsidR="00DE362C" w:rsidRPr="00253A53">
        <w:rPr>
          <w:rFonts w:ascii="Times New Roman" w:hAnsi="Times New Roman" w:cs="Times New Roman"/>
          <w:sz w:val="24"/>
          <w:szCs w:val="24"/>
        </w:rPr>
        <w:t>ct</w:t>
      </w:r>
      <w:r w:rsidRPr="00253A53">
        <w:rPr>
          <w:rFonts w:ascii="Times New Roman" w:hAnsi="Times New Roman" w:cs="Times New Roman"/>
          <w:sz w:val="24"/>
          <w:szCs w:val="24"/>
        </w:rPr>
        <w:t xml:space="preserve"> to enact a reasonable accommodation duty so that Part 3-1 is recast as equality-enabling in a substantive sense. Such a duty could potentially be added at the three different points that are flagged above </w:t>
      </w:r>
      <w:r w:rsidR="007A511F" w:rsidRPr="00253A53">
        <w:rPr>
          <w:rFonts w:ascii="Times New Roman" w:hAnsi="Times New Roman" w:cs="Times New Roman"/>
          <w:sz w:val="24"/>
          <w:szCs w:val="24"/>
        </w:rPr>
        <w:t>—</w:t>
      </w:r>
      <w:r w:rsidR="006C2D01" w:rsidRPr="00253A53">
        <w:rPr>
          <w:rFonts w:ascii="Times New Roman" w:hAnsi="Times New Roman" w:cs="Times New Roman"/>
          <w:sz w:val="24"/>
          <w:szCs w:val="24"/>
        </w:rPr>
        <w:t xml:space="preserve"> </w:t>
      </w:r>
      <w:r w:rsidRPr="00253A53">
        <w:rPr>
          <w:rFonts w:ascii="Times New Roman" w:hAnsi="Times New Roman" w:cs="Times New Roman"/>
          <w:sz w:val="24"/>
          <w:szCs w:val="24"/>
        </w:rPr>
        <w:t>s</w:t>
      </w:r>
      <w:r w:rsidR="007A511F" w:rsidRPr="00253A53">
        <w:rPr>
          <w:rFonts w:ascii="Times New Roman" w:hAnsi="Times New Roman" w:cs="Times New Roman"/>
          <w:sz w:val="24"/>
          <w:szCs w:val="24"/>
        </w:rPr>
        <w:t>s</w:t>
      </w:r>
      <w:r w:rsidRPr="00253A53">
        <w:rPr>
          <w:rFonts w:ascii="Times New Roman" w:hAnsi="Times New Roman" w:cs="Times New Roman"/>
          <w:sz w:val="24"/>
          <w:szCs w:val="24"/>
        </w:rPr>
        <w:t xml:space="preserve"> 342(1)</w:t>
      </w:r>
      <w:r w:rsidR="007A511F" w:rsidRPr="00253A53">
        <w:rPr>
          <w:rFonts w:ascii="Times New Roman" w:hAnsi="Times New Roman" w:cs="Times New Roman"/>
          <w:sz w:val="24"/>
          <w:szCs w:val="24"/>
        </w:rPr>
        <w:t xml:space="preserve">, </w:t>
      </w:r>
      <w:r w:rsidRPr="00253A53">
        <w:rPr>
          <w:rFonts w:ascii="Times New Roman" w:hAnsi="Times New Roman" w:cs="Times New Roman"/>
          <w:sz w:val="24"/>
          <w:szCs w:val="24"/>
        </w:rPr>
        <w:t>351(1), and the ‘inherent requirements’ exemption in s 351(2)(b). As between adding an explicit reasonable accommodation duty to s 342(1) or s 351, s 351 might be considered the preferable location as the duty attaches most obviously to the attributes listed in s 351 and not the grounds of ‘workplace right’ and ‘industrial activities’. A new subsection could be inserted into s 351 (</w:t>
      </w:r>
      <w:r w:rsidR="006C2D01" w:rsidRPr="00253A53">
        <w:rPr>
          <w:rFonts w:ascii="Times New Roman" w:hAnsi="Times New Roman" w:cs="Times New Roman"/>
          <w:sz w:val="24"/>
          <w:szCs w:val="24"/>
        </w:rPr>
        <w:t>for instance,</w:t>
      </w:r>
      <w:r w:rsidRPr="00253A53">
        <w:rPr>
          <w:rFonts w:ascii="Times New Roman" w:hAnsi="Times New Roman" w:cs="Times New Roman"/>
          <w:sz w:val="24"/>
          <w:szCs w:val="24"/>
        </w:rPr>
        <w:t xml:space="preserve"> s 351(1A)) to provide that ‘</w:t>
      </w:r>
      <w:r w:rsidR="002D45ED">
        <w:rPr>
          <w:rFonts w:ascii="Times New Roman" w:hAnsi="Times New Roman" w:cs="Times New Roman"/>
          <w:sz w:val="24"/>
          <w:szCs w:val="24"/>
        </w:rPr>
        <w:t>a</w:t>
      </w:r>
      <w:r w:rsidRPr="00253A53">
        <w:rPr>
          <w:rFonts w:ascii="Times New Roman" w:hAnsi="Times New Roman" w:cs="Times New Roman"/>
          <w:sz w:val="24"/>
          <w:szCs w:val="24"/>
        </w:rPr>
        <w:t xml:space="preserve">n employer must not, </w:t>
      </w:r>
      <w:r w:rsidRPr="00253A53">
        <w:rPr>
          <w:rFonts w:ascii="Times New Roman" w:hAnsi="Times New Roman" w:cs="Times New Roman"/>
          <w:sz w:val="24"/>
          <w:szCs w:val="24"/>
          <w:lang w:eastAsia="en-AU"/>
        </w:rPr>
        <w:t>in relation to the work arrangements of an employee or prospective employee, unreasonably refuse to accommodate that person because of their race, colour, sex</w:t>
      </w:r>
      <w:r w:rsidR="006E6B45" w:rsidRPr="00253A53">
        <w:rPr>
          <w:rFonts w:ascii="Times New Roman" w:hAnsi="Times New Roman" w:cs="Times New Roman"/>
          <w:sz w:val="24"/>
          <w:szCs w:val="24"/>
          <w:lang w:eastAsia="en-AU"/>
        </w:rPr>
        <w:t xml:space="preserve"> …</w:t>
      </w:r>
      <w:r w:rsidRPr="00253A53">
        <w:rPr>
          <w:rFonts w:ascii="Times New Roman" w:hAnsi="Times New Roman" w:cs="Times New Roman"/>
          <w:sz w:val="24"/>
          <w:szCs w:val="24"/>
          <w:lang w:eastAsia="en-AU"/>
        </w:rPr>
        <w:t>’.</w:t>
      </w:r>
      <w:r w:rsidRPr="00253A53">
        <w:rPr>
          <w:rStyle w:val="FootnoteReference"/>
          <w:rFonts w:ascii="Times New Roman" w:hAnsi="Times New Roman" w:cs="Times New Roman"/>
          <w:sz w:val="24"/>
          <w:szCs w:val="24"/>
        </w:rPr>
        <w:footnoteReference w:id="51"/>
      </w:r>
      <w:r w:rsidRPr="00253A53">
        <w:rPr>
          <w:rFonts w:ascii="Times New Roman" w:hAnsi="Times New Roman" w:cs="Times New Roman"/>
          <w:sz w:val="24"/>
          <w:szCs w:val="24"/>
        </w:rPr>
        <w:t xml:space="preserve"> </w:t>
      </w:r>
      <w:r w:rsidRPr="00253A53">
        <w:rPr>
          <w:rFonts w:ascii="Times New Roman" w:hAnsi="Times New Roman" w:cs="Times New Roman"/>
          <w:sz w:val="24"/>
          <w:szCs w:val="24"/>
          <w:lang w:eastAsia="en-AU"/>
        </w:rPr>
        <w:t xml:space="preserve">The provision should be extended to the principal and independent contractor relationship, as should the whole of s 351. Further, the ‘inherent requirements’ exemption in s 351(2)(b) </w:t>
      </w:r>
      <w:r w:rsidR="00F7077C" w:rsidRPr="00253A53">
        <w:rPr>
          <w:rFonts w:ascii="Times New Roman" w:hAnsi="Times New Roman" w:cs="Times New Roman"/>
          <w:sz w:val="24"/>
          <w:szCs w:val="24"/>
          <w:lang w:eastAsia="en-AU"/>
        </w:rPr>
        <w:t xml:space="preserve">ought to </w:t>
      </w:r>
      <w:r w:rsidRPr="00253A53">
        <w:rPr>
          <w:rFonts w:ascii="Times New Roman" w:hAnsi="Times New Roman" w:cs="Times New Roman"/>
          <w:sz w:val="24"/>
          <w:szCs w:val="24"/>
          <w:lang w:eastAsia="en-AU"/>
        </w:rPr>
        <w:t xml:space="preserve">be recast to ensure the assessment of the employee’s ability to meet the ‘inherent requirements’ of the position takes places after the employer has fulfilled its obligation of reasonable accommodation. Equality and discrimination legislation </w:t>
      </w:r>
      <w:proofErr w:type="gramStart"/>
      <w:r w:rsidRPr="00253A53">
        <w:rPr>
          <w:rFonts w:ascii="Times New Roman" w:hAnsi="Times New Roman" w:cs="Times New Roman"/>
          <w:sz w:val="24"/>
          <w:szCs w:val="24"/>
          <w:lang w:eastAsia="en-AU"/>
        </w:rPr>
        <w:t>provides</w:t>
      </w:r>
      <w:proofErr w:type="gramEnd"/>
      <w:r w:rsidRPr="00253A53">
        <w:rPr>
          <w:rFonts w:ascii="Times New Roman" w:hAnsi="Times New Roman" w:cs="Times New Roman"/>
          <w:sz w:val="24"/>
          <w:szCs w:val="24"/>
          <w:lang w:eastAsia="en-AU"/>
        </w:rPr>
        <w:t xml:space="preserve"> a useful starting point for these drafting tasks.</w:t>
      </w:r>
      <w:r w:rsidRPr="00253A53">
        <w:rPr>
          <w:rStyle w:val="FootnoteReference"/>
          <w:rFonts w:ascii="Times New Roman" w:hAnsi="Times New Roman" w:cs="Times New Roman"/>
          <w:sz w:val="24"/>
          <w:szCs w:val="24"/>
          <w:lang w:eastAsia="en-AU"/>
        </w:rPr>
        <w:footnoteReference w:id="52"/>
      </w:r>
    </w:p>
    <w:p w14:paraId="124430EC" w14:textId="77777777" w:rsidR="00184F1C" w:rsidRPr="002A6A9D" w:rsidRDefault="00184F1C" w:rsidP="002A6A9D">
      <w:pPr>
        <w:jc w:val="both"/>
        <w:rPr>
          <w:rFonts w:ascii="Arial" w:hAnsi="Arial" w:cs="Arial"/>
          <w:b/>
        </w:rPr>
      </w:pPr>
    </w:p>
    <w:p w14:paraId="161E9628" w14:textId="308DBE5A" w:rsidR="000A4795" w:rsidRPr="00185C55" w:rsidRDefault="00543F23" w:rsidP="00185C55">
      <w:pPr>
        <w:jc w:val="center"/>
        <w:rPr>
          <w:rFonts w:ascii="Arial" w:hAnsi="Arial" w:cs="Arial"/>
          <w:b/>
          <w:sz w:val="28"/>
          <w:szCs w:val="28"/>
        </w:rPr>
      </w:pPr>
      <w:r w:rsidRPr="00253A53">
        <w:rPr>
          <w:rFonts w:ascii="Arial" w:hAnsi="Arial" w:cs="Arial"/>
          <w:b/>
          <w:sz w:val="28"/>
          <w:szCs w:val="28"/>
        </w:rPr>
        <w:t>Harassment and Employer</w:t>
      </w:r>
      <w:r w:rsidR="000A4795" w:rsidRPr="00253A53">
        <w:rPr>
          <w:rFonts w:ascii="Arial" w:hAnsi="Arial" w:cs="Arial"/>
          <w:b/>
          <w:sz w:val="28"/>
          <w:szCs w:val="28"/>
        </w:rPr>
        <w:t xml:space="preserve"> </w:t>
      </w:r>
      <w:r w:rsidRPr="00253A53">
        <w:rPr>
          <w:rFonts w:ascii="Arial" w:hAnsi="Arial" w:cs="Arial"/>
          <w:b/>
          <w:sz w:val="28"/>
          <w:szCs w:val="28"/>
        </w:rPr>
        <w:t>Liability</w:t>
      </w:r>
    </w:p>
    <w:p w14:paraId="320269BF" w14:textId="77777777" w:rsidR="00526B9C" w:rsidRPr="00253A53" w:rsidRDefault="00543F23" w:rsidP="002A6A9D">
      <w:pPr>
        <w:jc w:val="both"/>
        <w:rPr>
          <w:rFonts w:ascii="Times New Roman" w:hAnsi="Times New Roman" w:cs="Times New Roman"/>
          <w:color w:val="0070C0"/>
          <w:sz w:val="24"/>
          <w:szCs w:val="24"/>
          <w:lang w:val="en"/>
        </w:rPr>
      </w:pPr>
      <w:r w:rsidRPr="00253A53">
        <w:rPr>
          <w:rFonts w:ascii="Times New Roman" w:hAnsi="Times New Roman" w:cs="Times New Roman"/>
          <w:sz w:val="24"/>
          <w:szCs w:val="24"/>
        </w:rPr>
        <w:t>Effective legislative provisions that prohibit, and provide redress in relation to, sexual harassment and other conduct that harasses an employee on attributes such as race and disability, are core features of an agenda of substantive equality. Sexual harassment is widely recognised as a gendered harm, revealed not only in the data on prevalence and characteristics,</w:t>
      </w:r>
      <w:r w:rsidRPr="00253A53">
        <w:rPr>
          <w:rStyle w:val="FootnoteReference"/>
          <w:rFonts w:ascii="Times New Roman" w:hAnsi="Times New Roman" w:cs="Times New Roman"/>
          <w:color w:val="1F1923"/>
          <w:sz w:val="24"/>
          <w:szCs w:val="24"/>
          <w:lang w:val="en"/>
        </w:rPr>
        <w:footnoteReference w:id="53"/>
      </w:r>
      <w:r w:rsidRPr="00253A53">
        <w:rPr>
          <w:rFonts w:ascii="Times New Roman" w:hAnsi="Times New Roman" w:cs="Times New Roman"/>
          <w:color w:val="1F1923"/>
          <w:sz w:val="24"/>
          <w:szCs w:val="24"/>
          <w:lang w:val="en"/>
        </w:rPr>
        <w:t xml:space="preserve"> but </w:t>
      </w:r>
      <w:r w:rsidRPr="00253A53">
        <w:rPr>
          <w:rFonts w:ascii="Times New Roman" w:hAnsi="Times New Roman" w:cs="Times New Roman"/>
          <w:sz w:val="24"/>
          <w:szCs w:val="24"/>
        </w:rPr>
        <w:t>also in the systemic impact sexual harassment has on women’s equality in the workplace.</w:t>
      </w:r>
      <w:r w:rsidRPr="00253A53">
        <w:rPr>
          <w:rStyle w:val="FootnoteReference"/>
          <w:rFonts w:ascii="Times New Roman" w:hAnsi="Times New Roman" w:cs="Times New Roman"/>
          <w:sz w:val="24"/>
          <w:szCs w:val="24"/>
        </w:rPr>
        <w:footnoteReference w:id="54"/>
      </w:r>
      <w:r w:rsidRPr="00253A53">
        <w:rPr>
          <w:rFonts w:ascii="Times New Roman" w:hAnsi="Times New Roman" w:cs="Times New Roman"/>
          <w:sz w:val="24"/>
          <w:szCs w:val="24"/>
        </w:rPr>
        <w:t xml:space="preserve"> Harassing conduct on the basis of, for example, an employee’s race, disability or age, marginalises and harms workers, undermining equality at work in a real sense.</w:t>
      </w:r>
      <w:r w:rsidRPr="00253A53">
        <w:rPr>
          <w:rStyle w:val="FootnoteReference"/>
          <w:rFonts w:ascii="Times New Roman" w:hAnsi="Times New Roman" w:cs="Times New Roman"/>
          <w:sz w:val="24"/>
          <w:szCs w:val="24"/>
        </w:rPr>
        <w:footnoteReference w:id="55"/>
      </w:r>
      <w:r w:rsidRPr="00253A53">
        <w:rPr>
          <w:rFonts w:ascii="Times New Roman" w:hAnsi="Times New Roman" w:cs="Times New Roman"/>
          <w:color w:val="1F1923"/>
          <w:sz w:val="24"/>
          <w:szCs w:val="24"/>
          <w:lang w:val="en"/>
        </w:rPr>
        <w:t xml:space="preserve"> </w:t>
      </w:r>
    </w:p>
    <w:p w14:paraId="320269C0" w14:textId="77777777" w:rsidR="00526B9C" w:rsidRPr="00253A53" w:rsidRDefault="00543F23" w:rsidP="002A6A9D">
      <w:pPr>
        <w:jc w:val="both"/>
        <w:rPr>
          <w:rFonts w:ascii="Times New Roman" w:hAnsi="Times New Roman" w:cs="Times New Roman"/>
          <w:sz w:val="24"/>
          <w:szCs w:val="24"/>
        </w:rPr>
      </w:pPr>
      <w:r w:rsidRPr="00253A53">
        <w:rPr>
          <w:rFonts w:ascii="Times New Roman" w:hAnsi="Times New Roman" w:cs="Times New Roman"/>
          <w:sz w:val="24"/>
          <w:szCs w:val="24"/>
        </w:rPr>
        <w:t xml:space="preserve">There are no explicit provisions prohibiting sexual harassment in Part 3-1. Nor is there a set of provisions that specifies when an employer will be liable for the harassing conduct of one or more of its employees that is linked to an attribute in s 351(1). A number of decisions over the past years </w:t>
      </w:r>
      <w:r w:rsidRPr="00253A53">
        <w:rPr>
          <w:rFonts w:ascii="Times New Roman" w:hAnsi="Times New Roman" w:cs="Times New Roman"/>
          <w:sz w:val="24"/>
          <w:szCs w:val="24"/>
        </w:rPr>
        <w:lastRenderedPageBreak/>
        <w:t xml:space="preserve">indicate the complexity in pursuing claims of sexual harassment or other forms of harassment as ‘adverse action’ under Part 3-1. Two key questions arise: </w:t>
      </w:r>
    </w:p>
    <w:p w14:paraId="320269C1" w14:textId="77777777" w:rsidR="00526B9C" w:rsidRPr="00253A53" w:rsidRDefault="00543F23" w:rsidP="002A6A9D">
      <w:pPr>
        <w:pStyle w:val="ListParagraph"/>
        <w:numPr>
          <w:ilvl w:val="0"/>
          <w:numId w:val="15"/>
        </w:numPr>
        <w:jc w:val="both"/>
        <w:rPr>
          <w:rFonts w:ascii="Times New Roman" w:hAnsi="Times New Roman" w:cs="Times New Roman"/>
          <w:sz w:val="24"/>
          <w:szCs w:val="24"/>
        </w:rPr>
      </w:pPr>
      <w:r w:rsidRPr="00253A53">
        <w:rPr>
          <w:rFonts w:ascii="Times New Roman" w:hAnsi="Times New Roman" w:cs="Times New Roman"/>
          <w:sz w:val="24"/>
          <w:szCs w:val="24"/>
        </w:rPr>
        <w:t xml:space="preserve">Does conduct amounting to sexual harassment, or other harassment, constitute a form of ‘adverse action’ under s 342(1) item 1? </w:t>
      </w:r>
    </w:p>
    <w:p w14:paraId="320269C2" w14:textId="77777777" w:rsidR="00526B9C" w:rsidRPr="00253A53" w:rsidRDefault="00543F23" w:rsidP="002A6A9D">
      <w:pPr>
        <w:pStyle w:val="ListParagraph"/>
        <w:numPr>
          <w:ilvl w:val="0"/>
          <w:numId w:val="15"/>
        </w:numPr>
        <w:jc w:val="both"/>
        <w:rPr>
          <w:rFonts w:ascii="Times New Roman" w:hAnsi="Times New Roman" w:cs="Times New Roman"/>
          <w:sz w:val="24"/>
          <w:szCs w:val="24"/>
        </w:rPr>
      </w:pPr>
      <w:r w:rsidRPr="00253A53">
        <w:rPr>
          <w:rFonts w:ascii="Times New Roman" w:hAnsi="Times New Roman" w:cs="Times New Roman"/>
          <w:sz w:val="24"/>
          <w:szCs w:val="24"/>
        </w:rPr>
        <w:t xml:space="preserve">Is an employer potentially liable in relation to the more typical scenario where harassment is carried out by a co-worker of the claimant (rather than by the employer themselves)? </w:t>
      </w:r>
    </w:p>
    <w:p w14:paraId="320269C3" w14:textId="27E8677D" w:rsidR="00526B9C" w:rsidRPr="00253A53" w:rsidRDefault="00543F23" w:rsidP="002A6A9D">
      <w:pPr>
        <w:jc w:val="both"/>
        <w:rPr>
          <w:rFonts w:ascii="Times New Roman" w:hAnsi="Times New Roman" w:cs="Times New Roman"/>
          <w:sz w:val="24"/>
          <w:szCs w:val="24"/>
        </w:rPr>
      </w:pPr>
      <w:r w:rsidRPr="00253A53">
        <w:rPr>
          <w:rFonts w:ascii="Times New Roman" w:hAnsi="Times New Roman" w:cs="Times New Roman"/>
          <w:sz w:val="24"/>
          <w:szCs w:val="24"/>
        </w:rPr>
        <w:t xml:space="preserve">These questions have not yet been directly and fully addressed in case decisions under Part 3-1, </w:t>
      </w:r>
      <w:proofErr w:type="gramStart"/>
      <w:r w:rsidRPr="00253A53">
        <w:rPr>
          <w:rFonts w:ascii="Times New Roman" w:hAnsi="Times New Roman" w:cs="Times New Roman"/>
          <w:sz w:val="24"/>
          <w:szCs w:val="24"/>
        </w:rPr>
        <w:t>or  scholarship</w:t>
      </w:r>
      <w:proofErr w:type="gramEnd"/>
      <w:r w:rsidRPr="00253A53">
        <w:rPr>
          <w:rFonts w:ascii="Times New Roman" w:hAnsi="Times New Roman" w:cs="Times New Roman"/>
          <w:sz w:val="24"/>
          <w:szCs w:val="24"/>
        </w:rPr>
        <w:t xml:space="preserve">, and are explored in turn. </w:t>
      </w:r>
    </w:p>
    <w:p w14:paraId="4800F7C1" w14:textId="77777777" w:rsidR="00755D4A" w:rsidRPr="002A6A9D" w:rsidRDefault="00755D4A" w:rsidP="002A6A9D">
      <w:pPr>
        <w:jc w:val="both"/>
        <w:rPr>
          <w:rFonts w:ascii="Arial" w:hAnsi="Arial" w:cs="Arial"/>
        </w:rPr>
      </w:pPr>
    </w:p>
    <w:p w14:paraId="320269C4" w14:textId="60E839DF" w:rsidR="00526B9C" w:rsidRPr="005F4211" w:rsidRDefault="00543F23" w:rsidP="00C538EF">
      <w:pPr>
        <w:jc w:val="center"/>
        <w:rPr>
          <w:rFonts w:ascii="Arial" w:hAnsi="Arial" w:cs="Arial"/>
          <w:b/>
          <w:bCs/>
          <w:sz w:val="28"/>
          <w:szCs w:val="28"/>
        </w:rPr>
      </w:pPr>
      <w:r w:rsidRPr="005F4211">
        <w:rPr>
          <w:rFonts w:ascii="Arial" w:hAnsi="Arial" w:cs="Arial"/>
          <w:b/>
          <w:bCs/>
          <w:sz w:val="28"/>
          <w:szCs w:val="28"/>
        </w:rPr>
        <w:t>Harassment as Adverse Action</w:t>
      </w:r>
    </w:p>
    <w:p w14:paraId="320269C5" w14:textId="19D6FC95" w:rsidR="00526B9C" w:rsidRPr="00253A53" w:rsidRDefault="00543F23" w:rsidP="002A6A9D">
      <w:pPr>
        <w:jc w:val="both"/>
        <w:rPr>
          <w:rFonts w:ascii="Times New Roman" w:hAnsi="Times New Roman" w:cs="Times New Roman"/>
          <w:sz w:val="24"/>
          <w:szCs w:val="24"/>
        </w:rPr>
      </w:pPr>
      <w:r w:rsidRPr="00253A53">
        <w:rPr>
          <w:rFonts w:ascii="Times New Roman" w:hAnsi="Times New Roman" w:cs="Times New Roman"/>
          <w:sz w:val="24"/>
          <w:szCs w:val="24"/>
        </w:rPr>
        <w:t>Harassment is commonly understood to denote repeated or ongoing behaviour (including comments), that is directed at a person and that undermines, intimidates, offends or humiliates them.</w:t>
      </w:r>
      <w:r w:rsidRPr="00253A53">
        <w:rPr>
          <w:rStyle w:val="FootnoteReference"/>
          <w:rFonts w:ascii="Times New Roman" w:hAnsi="Times New Roman" w:cs="Times New Roman"/>
          <w:sz w:val="24"/>
          <w:szCs w:val="24"/>
        </w:rPr>
        <w:footnoteReference w:id="56"/>
      </w:r>
      <w:r w:rsidRPr="00253A53">
        <w:rPr>
          <w:rFonts w:ascii="Times New Roman" w:hAnsi="Times New Roman" w:cs="Times New Roman"/>
          <w:sz w:val="24"/>
          <w:szCs w:val="24"/>
        </w:rPr>
        <w:t xml:space="preserve"> It seems most likely that conduct of this description, whether sexual or otherwise, </w:t>
      </w:r>
      <w:r w:rsidR="00415E98" w:rsidRPr="00253A53">
        <w:rPr>
          <w:rFonts w:ascii="Times New Roman" w:hAnsi="Times New Roman" w:cs="Times New Roman"/>
          <w:sz w:val="24"/>
          <w:szCs w:val="24"/>
        </w:rPr>
        <w:t xml:space="preserve">does </w:t>
      </w:r>
      <w:r w:rsidRPr="00253A53">
        <w:rPr>
          <w:rFonts w:ascii="Times New Roman" w:hAnsi="Times New Roman" w:cs="Times New Roman"/>
          <w:sz w:val="24"/>
          <w:szCs w:val="24"/>
        </w:rPr>
        <w:t>come within the meaning of ‘adverse action’ in s 342(1). Harassment often involves singling out an employee, and the employee’s position is clearly changed to their detriment compared to their work environment before the harassing conduct began.</w:t>
      </w:r>
      <w:r w:rsidRPr="00253A53">
        <w:rPr>
          <w:rStyle w:val="FootnoteReference"/>
          <w:rFonts w:ascii="Times New Roman" w:hAnsi="Times New Roman" w:cs="Times New Roman"/>
          <w:sz w:val="24"/>
          <w:szCs w:val="24"/>
        </w:rPr>
        <w:footnoteReference w:id="57"/>
      </w:r>
      <w:r w:rsidRPr="00253A53">
        <w:rPr>
          <w:rFonts w:ascii="Times New Roman" w:hAnsi="Times New Roman" w:cs="Times New Roman"/>
          <w:sz w:val="24"/>
          <w:szCs w:val="24"/>
        </w:rPr>
        <w:t xml:space="preserve"> Harassment may give rise to an ‘injury’ to the claimant in their employment (in the sense required by s 342(1) item 1(b)), where the harm caused to the claimant is of a ‘compensable kind’ through, for example equality and discrimination law (or tort or contract law). Workplace harassment seems likely also to fall within the description of altering the position of the claimant to their ‘prejudice’, as harassment is a deterioration in the work environment for the claimant, from previously being a safe environment, to, for example, a workplace where the claimant feels unsafe, fearful or intimidated.</w:t>
      </w:r>
      <w:r w:rsidRPr="00253A53">
        <w:rPr>
          <w:rStyle w:val="FootnoteReference"/>
          <w:rFonts w:ascii="Times New Roman" w:hAnsi="Times New Roman" w:cs="Times New Roman"/>
          <w:sz w:val="24"/>
          <w:szCs w:val="24"/>
        </w:rPr>
        <w:footnoteReference w:id="58"/>
      </w:r>
      <w:r w:rsidRPr="00253A53">
        <w:rPr>
          <w:rFonts w:ascii="Times New Roman" w:hAnsi="Times New Roman" w:cs="Times New Roman"/>
          <w:sz w:val="24"/>
          <w:szCs w:val="24"/>
        </w:rPr>
        <w:t xml:space="preserve"> </w:t>
      </w:r>
    </w:p>
    <w:p w14:paraId="320269C6" w14:textId="395B5484" w:rsidR="00526B9C" w:rsidRPr="00253A53" w:rsidRDefault="00543F23" w:rsidP="002A6A9D">
      <w:pPr>
        <w:jc w:val="both"/>
        <w:rPr>
          <w:rFonts w:ascii="Times New Roman" w:hAnsi="Times New Roman" w:cs="Times New Roman"/>
          <w:sz w:val="24"/>
          <w:szCs w:val="24"/>
        </w:rPr>
      </w:pPr>
      <w:r w:rsidRPr="00253A53">
        <w:rPr>
          <w:rFonts w:ascii="Times New Roman" w:hAnsi="Times New Roman" w:cs="Times New Roman"/>
          <w:sz w:val="24"/>
          <w:szCs w:val="24"/>
        </w:rPr>
        <w:t>In 2016 a Full Court of the Federal Court discussed behaviour that caused emotional distress and marginalisation of employees. This arose in the context of the provisions in s 342(1) regarding adverse action taken by an industrial association or an officer of an industrial association. In this case a union official had placed several posters at different work sites that named five workers as ‘scabs’ for continuing to work during a period of industrial action. The primary judge determined that the posters were intended to, and did in fact, invoke in the named people fear for their personal safety and that of their families, and that the posters did diminish their standing amongst their co-workers.</w:t>
      </w:r>
      <w:r w:rsidRPr="00253A53">
        <w:rPr>
          <w:rStyle w:val="FootnoteReference"/>
          <w:rFonts w:ascii="Times New Roman" w:hAnsi="Times New Roman" w:cs="Times New Roman"/>
          <w:sz w:val="24"/>
          <w:szCs w:val="24"/>
        </w:rPr>
        <w:footnoteReference w:id="59"/>
      </w:r>
      <w:r w:rsidRPr="00253A53">
        <w:rPr>
          <w:rFonts w:ascii="Times New Roman" w:hAnsi="Times New Roman" w:cs="Times New Roman"/>
          <w:sz w:val="24"/>
          <w:szCs w:val="24"/>
        </w:rPr>
        <w:t xml:space="preserve"> The Full Court did not accept the argument that the concept of ‘prejudicing’ the person in their employment is limited to a deterioration in the ‘formal relationship with an employer or to physical or tangible benefits of employment’.</w:t>
      </w:r>
      <w:r w:rsidRPr="00253A53">
        <w:rPr>
          <w:rStyle w:val="FootnoteReference"/>
          <w:rFonts w:ascii="Times New Roman" w:hAnsi="Times New Roman" w:cs="Times New Roman"/>
          <w:sz w:val="24"/>
          <w:szCs w:val="24"/>
        </w:rPr>
        <w:footnoteReference w:id="60"/>
      </w:r>
      <w:r w:rsidRPr="00253A53">
        <w:rPr>
          <w:rFonts w:ascii="Times New Roman" w:hAnsi="Times New Roman" w:cs="Times New Roman"/>
          <w:sz w:val="24"/>
          <w:szCs w:val="24"/>
        </w:rPr>
        <w:t xml:space="preserve"> Rather, prejudicial alteration includes deterioration to a non-pecuniary benefit of employment, including a working environment that was free from fear.</w:t>
      </w:r>
      <w:r w:rsidRPr="00253A53">
        <w:rPr>
          <w:rStyle w:val="FootnoteReference"/>
          <w:rFonts w:ascii="Times New Roman" w:hAnsi="Times New Roman" w:cs="Times New Roman"/>
          <w:sz w:val="24"/>
          <w:szCs w:val="24"/>
        </w:rPr>
        <w:footnoteReference w:id="61"/>
      </w:r>
      <w:r w:rsidR="00F1341B" w:rsidRPr="00253A53">
        <w:rPr>
          <w:rFonts w:ascii="Times New Roman" w:hAnsi="Times New Roman" w:cs="Times New Roman"/>
          <w:sz w:val="24"/>
          <w:szCs w:val="24"/>
        </w:rPr>
        <w:t xml:space="preserve"> </w:t>
      </w:r>
      <w:r w:rsidRPr="00253A53">
        <w:rPr>
          <w:rFonts w:ascii="Times New Roman" w:hAnsi="Times New Roman" w:cs="Times New Roman"/>
          <w:sz w:val="24"/>
          <w:szCs w:val="24"/>
        </w:rPr>
        <w:t>Bromberg</w:t>
      </w:r>
      <w:r w:rsidR="00DC13ED">
        <w:rPr>
          <w:rFonts w:ascii="Times New Roman" w:hAnsi="Times New Roman" w:cs="Times New Roman"/>
          <w:sz w:val="24"/>
          <w:szCs w:val="24"/>
        </w:rPr>
        <w:t xml:space="preserve"> J</w:t>
      </w:r>
      <w:r w:rsidRPr="00253A53">
        <w:rPr>
          <w:rFonts w:ascii="Times New Roman" w:hAnsi="Times New Roman" w:cs="Times New Roman"/>
          <w:sz w:val="24"/>
          <w:szCs w:val="24"/>
        </w:rPr>
        <w:t xml:space="preserve"> explicitly recognised that a benefit of employment that might be prejudiced in the sense required by the legislation, is ‘a safe working environment’. His Honour explained that ‘[a]n employee’s right to work in an environment free of bullying or other forms of harassment is an obvious example of what a safe </w:t>
      </w:r>
      <w:r w:rsidRPr="00253A53">
        <w:rPr>
          <w:rFonts w:ascii="Times New Roman" w:hAnsi="Times New Roman" w:cs="Times New Roman"/>
          <w:sz w:val="24"/>
          <w:szCs w:val="24"/>
        </w:rPr>
        <w:lastRenderedPageBreak/>
        <w:t>work environment entails.’</w:t>
      </w:r>
      <w:r w:rsidRPr="00253A53">
        <w:rPr>
          <w:rStyle w:val="FootnoteReference"/>
          <w:rFonts w:ascii="Times New Roman" w:hAnsi="Times New Roman" w:cs="Times New Roman"/>
          <w:sz w:val="24"/>
          <w:szCs w:val="24"/>
        </w:rPr>
        <w:t xml:space="preserve"> </w:t>
      </w:r>
      <w:r w:rsidRPr="00253A53">
        <w:rPr>
          <w:rStyle w:val="FootnoteReference"/>
          <w:rFonts w:ascii="Times New Roman" w:hAnsi="Times New Roman" w:cs="Times New Roman"/>
          <w:sz w:val="24"/>
          <w:szCs w:val="24"/>
        </w:rPr>
        <w:footnoteReference w:id="62"/>
      </w:r>
      <w:r w:rsidRPr="00253A53">
        <w:rPr>
          <w:rFonts w:ascii="Times New Roman" w:hAnsi="Times New Roman" w:cs="Times New Roman"/>
          <w:sz w:val="24"/>
          <w:szCs w:val="24"/>
        </w:rPr>
        <w:t xml:space="preserve"> By analogy, sexual harassment and attribute-based harassment seems highly likely to cause a prejudicial alteration within the meaning of s 342(1) item 1(c), as this behaviour causes a deterioration from a previously safe working environment where harassment was not occurring to a working environment that </w:t>
      </w:r>
      <w:r w:rsidR="00822EF3" w:rsidRPr="00253A53">
        <w:rPr>
          <w:rFonts w:ascii="Times New Roman" w:hAnsi="Times New Roman" w:cs="Times New Roman"/>
          <w:sz w:val="24"/>
          <w:szCs w:val="24"/>
        </w:rPr>
        <w:t xml:space="preserve">is </w:t>
      </w:r>
      <w:r w:rsidRPr="00253A53">
        <w:rPr>
          <w:rFonts w:ascii="Times New Roman" w:hAnsi="Times New Roman" w:cs="Times New Roman"/>
          <w:sz w:val="24"/>
          <w:szCs w:val="24"/>
        </w:rPr>
        <w:t>not safe.</w:t>
      </w:r>
      <w:r w:rsidRPr="00253A53">
        <w:rPr>
          <w:rStyle w:val="FootnoteReference"/>
          <w:rFonts w:ascii="Times New Roman" w:hAnsi="Times New Roman" w:cs="Times New Roman"/>
          <w:sz w:val="24"/>
          <w:szCs w:val="24"/>
        </w:rPr>
        <w:footnoteReference w:id="63"/>
      </w:r>
    </w:p>
    <w:p w14:paraId="320269C7" w14:textId="7FC629AF" w:rsidR="00526B9C" w:rsidRPr="00253A53" w:rsidRDefault="00543F23" w:rsidP="002A6A9D">
      <w:pPr>
        <w:jc w:val="both"/>
        <w:rPr>
          <w:rFonts w:ascii="Times New Roman" w:hAnsi="Times New Roman" w:cs="Times New Roman"/>
          <w:sz w:val="24"/>
          <w:szCs w:val="24"/>
        </w:rPr>
      </w:pPr>
      <w:r w:rsidRPr="00253A53">
        <w:rPr>
          <w:rFonts w:ascii="Times New Roman" w:hAnsi="Times New Roman" w:cs="Times New Roman"/>
          <w:sz w:val="24"/>
          <w:szCs w:val="24"/>
        </w:rPr>
        <w:t>‘Adverse action’ also arises where an employer ‘discriminates between’ the claimant and other employees of the employer (item 1(d)).</w:t>
      </w:r>
      <w:r w:rsidRPr="00253A53">
        <w:rPr>
          <w:rStyle w:val="FootnoteReference"/>
          <w:rFonts w:ascii="Times New Roman" w:hAnsi="Times New Roman" w:cs="Times New Roman"/>
          <w:sz w:val="24"/>
          <w:szCs w:val="24"/>
        </w:rPr>
        <w:footnoteReference w:id="64"/>
      </w:r>
      <w:r w:rsidRPr="00253A53">
        <w:rPr>
          <w:rFonts w:ascii="Times New Roman" w:hAnsi="Times New Roman" w:cs="Times New Roman"/>
          <w:sz w:val="24"/>
          <w:szCs w:val="24"/>
        </w:rPr>
        <w:t xml:space="preserve"> This formula appears to go to the heart of harassment </w:t>
      </w:r>
      <w:r w:rsidR="008063D5" w:rsidRPr="008063D5">
        <w:rPr>
          <w:rFonts w:ascii="Times New Roman" w:hAnsi="Times New Roman" w:cs="Times New Roman"/>
          <w:sz w:val="24"/>
          <w:szCs w:val="24"/>
        </w:rPr>
        <w:t>—</w:t>
      </w:r>
      <w:r w:rsidRPr="00253A53">
        <w:rPr>
          <w:rFonts w:ascii="Times New Roman" w:hAnsi="Times New Roman" w:cs="Times New Roman"/>
          <w:sz w:val="24"/>
          <w:szCs w:val="24"/>
        </w:rPr>
        <w:t xml:space="preserve"> the singling out of an employee identified with an attribute in s 351(1). The </w:t>
      </w:r>
      <w:proofErr w:type="spellStart"/>
      <w:r w:rsidRPr="00253A53">
        <w:rPr>
          <w:rFonts w:ascii="Times New Roman" w:hAnsi="Times New Roman" w:cs="Times New Roman"/>
          <w:sz w:val="24"/>
          <w:szCs w:val="24"/>
        </w:rPr>
        <w:t>Benchbook</w:t>
      </w:r>
      <w:proofErr w:type="spellEnd"/>
      <w:r w:rsidRPr="00253A53">
        <w:rPr>
          <w:rFonts w:ascii="Times New Roman" w:hAnsi="Times New Roman" w:cs="Times New Roman"/>
          <w:sz w:val="24"/>
          <w:szCs w:val="24"/>
        </w:rPr>
        <w:t xml:space="preserve"> produced by the Fair Work Commission draws on case decisions under equality and discrimination law to the effect that sexual harassment is recognised to be a form of sex discrimination, to state that ‘[s]</w:t>
      </w:r>
      <w:proofErr w:type="spellStart"/>
      <w:r w:rsidRPr="00253A53">
        <w:rPr>
          <w:rFonts w:ascii="Times New Roman" w:hAnsi="Times New Roman" w:cs="Times New Roman"/>
          <w:sz w:val="24"/>
          <w:szCs w:val="24"/>
        </w:rPr>
        <w:t>imilarly</w:t>
      </w:r>
      <w:proofErr w:type="spellEnd"/>
      <w:r w:rsidRPr="00253A53">
        <w:rPr>
          <w:rFonts w:ascii="Times New Roman" w:hAnsi="Times New Roman" w:cs="Times New Roman"/>
          <w:sz w:val="24"/>
          <w:szCs w:val="24"/>
        </w:rPr>
        <w:t>, sexual harassment may constitute “adverse action” against a person by reason of the person’s sex.’</w:t>
      </w:r>
      <w:r w:rsidRPr="00253A53">
        <w:rPr>
          <w:rStyle w:val="FootnoteReference"/>
          <w:rFonts w:ascii="Times New Roman" w:hAnsi="Times New Roman" w:cs="Times New Roman"/>
          <w:sz w:val="24"/>
          <w:szCs w:val="24"/>
        </w:rPr>
        <w:footnoteReference w:id="65"/>
      </w:r>
      <w:r w:rsidRPr="00253A53">
        <w:rPr>
          <w:rFonts w:ascii="Times New Roman" w:hAnsi="Times New Roman" w:cs="Times New Roman"/>
          <w:sz w:val="24"/>
          <w:szCs w:val="24"/>
        </w:rPr>
        <w:t xml:space="preserve"> The same might be said for other forms of harassment, where harassment linked to a protected attribute has been held in equality and discrimination law to constitute direct discrimination on that attribute.</w:t>
      </w:r>
      <w:r w:rsidRPr="00253A53">
        <w:rPr>
          <w:rStyle w:val="FootnoteReference"/>
          <w:rFonts w:ascii="Times New Roman" w:hAnsi="Times New Roman" w:cs="Times New Roman"/>
          <w:sz w:val="24"/>
          <w:szCs w:val="24"/>
        </w:rPr>
        <w:footnoteReference w:id="66"/>
      </w:r>
      <w:r w:rsidRPr="00253A53">
        <w:rPr>
          <w:rFonts w:ascii="Times New Roman" w:hAnsi="Times New Roman" w:cs="Times New Roman"/>
          <w:sz w:val="24"/>
          <w:szCs w:val="24"/>
        </w:rPr>
        <w:t xml:space="preserve"> Yet there is no certainty that a court adjudicating under Part 3-1 would adopt these approaches of equality and discrimination law, and indeed a court might be expected to reject the analogy, given the dominant judicial view that equality and discrimination law does not generally assist in interpreting Part 3-1.</w:t>
      </w:r>
      <w:r w:rsidRPr="00253A53">
        <w:rPr>
          <w:rStyle w:val="FootnoteReference"/>
          <w:rFonts w:ascii="Times New Roman" w:hAnsi="Times New Roman" w:cs="Times New Roman"/>
          <w:sz w:val="24"/>
          <w:szCs w:val="24"/>
        </w:rPr>
        <w:footnoteReference w:id="67"/>
      </w:r>
      <w:r w:rsidRPr="00253A53">
        <w:rPr>
          <w:rFonts w:ascii="Times New Roman" w:hAnsi="Times New Roman" w:cs="Times New Roman"/>
          <w:sz w:val="24"/>
          <w:szCs w:val="24"/>
        </w:rPr>
        <w:t xml:space="preserve"> </w:t>
      </w:r>
    </w:p>
    <w:p w14:paraId="320269C8" w14:textId="62B6E2EA" w:rsidR="00526B9C" w:rsidRPr="00253A53" w:rsidRDefault="00543F23" w:rsidP="002A6A9D">
      <w:pPr>
        <w:jc w:val="both"/>
        <w:rPr>
          <w:rFonts w:ascii="Times New Roman" w:hAnsi="Times New Roman" w:cs="Times New Roman"/>
          <w:sz w:val="24"/>
          <w:szCs w:val="24"/>
        </w:rPr>
      </w:pPr>
      <w:r w:rsidRPr="00253A53">
        <w:rPr>
          <w:rFonts w:ascii="Times New Roman" w:hAnsi="Times New Roman" w:cs="Times New Roman"/>
          <w:sz w:val="24"/>
          <w:szCs w:val="24"/>
        </w:rPr>
        <w:t>A further difficulty lies in the comparative methodology that courts have adopted, across the different attributes, to establishing the causal link of ‘because’ in Part 3-1.</w:t>
      </w:r>
      <w:r w:rsidRPr="00253A53">
        <w:rPr>
          <w:rStyle w:val="FootnoteReference"/>
          <w:rFonts w:ascii="Times New Roman" w:hAnsi="Times New Roman" w:cs="Times New Roman"/>
          <w:sz w:val="24"/>
          <w:szCs w:val="24"/>
        </w:rPr>
        <w:footnoteReference w:id="68"/>
      </w:r>
      <w:r w:rsidRPr="00253A53">
        <w:rPr>
          <w:rFonts w:ascii="Times New Roman" w:hAnsi="Times New Roman" w:cs="Times New Roman"/>
          <w:sz w:val="24"/>
          <w:szCs w:val="24"/>
        </w:rPr>
        <w:t xml:space="preserve"> That approach may require, for example, in a claim by a woman worker on the attribute of sex in s 351(1) that the evidence establishes that a male worker was not subjected to the ‘adverse action’ that the claimant experienced. This approach might be inadequate to capture the conduct of sexual harassment, especially where that harassment comprises a sexualised or </w:t>
      </w:r>
      <w:proofErr w:type="gramStart"/>
      <w:r w:rsidRPr="00253A53">
        <w:rPr>
          <w:rFonts w:ascii="Times New Roman" w:hAnsi="Times New Roman" w:cs="Times New Roman"/>
          <w:sz w:val="24"/>
          <w:szCs w:val="24"/>
        </w:rPr>
        <w:t>sexually-permeated</w:t>
      </w:r>
      <w:proofErr w:type="gramEnd"/>
      <w:r w:rsidRPr="00253A53">
        <w:rPr>
          <w:rFonts w:ascii="Times New Roman" w:hAnsi="Times New Roman" w:cs="Times New Roman"/>
          <w:sz w:val="24"/>
          <w:szCs w:val="24"/>
        </w:rPr>
        <w:t xml:space="preserve"> work environment rather than the singling out, or targeting, of the woman claimant as such. For this reason, the comparative approach of courts to determining the casual link may limit the ability for the claim to be substantiated on the evidence.</w:t>
      </w:r>
      <w:r w:rsidRPr="00253A53">
        <w:rPr>
          <w:rStyle w:val="FootnoteReference"/>
          <w:rFonts w:ascii="Times New Roman" w:hAnsi="Times New Roman" w:cs="Times New Roman"/>
          <w:sz w:val="24"/>
          <w:szCs w:val="24"/>
        </w:rPr>
        <w:footnoteReference w:id="69"/>
      </w:r>
      <w:r w:rsidRPr="00253A53">
        <w:rPr>
          <w:rFonts w:ascii="Times New Roman" w:hAnsi="Times New Roman" w:cs="Times New Roman"/>
          <w:sz w:val="24"/>
          <w:szCs w:val="24"/>
        </w:rPr>
        <w:t xml:space="preserve"> </w:t>
      </w:r>
    </w:p>
    <w:p w14:paraId="220C73D2" w14:textId="77777777" w:rsidR="00755D4A" w:rsidRPr="002A6A9D" w:rsidRDefault="00755D4A" w:rsidP="002A6A9D">
      <w:pPr>
        <w:jc w:val="both"/>
        <w:rPr>
          <w:rFonts w:ascii="Arial" w:hAnsi="Arial" w:cs="Arial"/>
        </w:rPr>
      </w:pPr>
    </w:p>
    <w:p w14:paraId="4411062F" w14:textId="5C270B45" w:rsidR="00755D4A" w:rsidRPr="005F4211" w:rsidRDefault="00543F23" w:rsidP="00C538EF">
      <w:pPr>
        <w:jc w:val="center"/>
        <w:rPr>
          <w:rFonts w:ascii="Arial" w:hAnsi="Arial" w:cs="Arial"/>
          <w:b/>
          <w:bCs/>
          <w:sz w:val="28"/>
          <w:szCs w:val="28"/>
        </w:rPr>
      </w:pPr>
      <w:r w:rsidRPr="005F4211">
        <w:rPr>
          <w:rFonts w:ascii="Arial" w:hAnsi="Arial" w:cs="Arial"/>
          <w:b/>
          <w:bCs/>
          <w:sz w:val="28"/>
          <w:szCs w:val="28"/>
        </w:rPr>
        <w:t>Employer Liability</w:t>
      </w:r>
    </w:p>
    <w:p w14:paraId="320269CA" w14:textId="1D2C09DF" w:rsidR="00526B9C" w:rsidRPr="00253A53" w:rsidRDefault="00543F23" w:rsidP="002A6A9D">
      <w:pPr>
        <w:jc w:val="both"/>
        <w:rPr>
          <w:rFonts w:ascii="Times New Roman" w:hAnsi="Times New Roman" w:cs="Times New Roman"/>
          <w:sz w:val="24"/>
          <w:szCs w:val="24"/>
          <w:lang w:val="en-US"/>
        </w:rPr>
      </w:pPr>
      <w:r w:rsidRPr="00253A53">
        <w:rPr>
          <w:rFonts w:ascii="Times New Roman" w:hAnsi="Times New Roman" w:cs="Times New Roman"/>
          <w:sz w:val="24"/>
          <w:szCs w:val="24"/>
        </w:rPr>
        <w:t xml:space="preserve">The second question posed above is central in any equality-enabling set of protections against harassment </w:t>
      </w:r>
      <w:r w:rsidR="006C2D01" w:rsidRPr="00253A53">
        <w:rPr>
          <w:rFonts w:ascii="Times New Roman" w:hAnsi="Times New Roman" w:cs="Times New Roman"/>
          <w:sz w:val="24"/>
          <w:szCs w:val="24"/>
        </w:rPr>
        <w:t>—</w:t>
      </w:r>
      <w:r w:rsidRPr="00253A53">
        <w:rPr>
          <w:rFonts w:ascii="Times New Roman" w:hAnsi="Times New Roman" w:cs="Times New Roman"/>
          <w:sz w:val="24"/>
          <w:szCs w:val="24"/>
        </w:rPr>
        <w:t xml:space="preserve"> will the employer be liable where harassment is carried out by a co-worker of the claimant (rather than by the natural person employer themselves)?</w:t>
      </w:r>
      <w:r w:rsidRPr="00253A53">
        <w:rPr>
          <w:rStyle w:val="FootnoteReference"/>
          <w:rFonts w:ascii="Times New Roman" w:hAnsi="Times New Roman" w:cs="Times New Roman"/>
          <w:sz w:val="24"/>
          <w:szCs w:val="24"/>
        </w:rPr>
        <w:footnoteReference w:id="70"/>
      </w:r>
      <w:r w:rsidRPr="00253A53">
        <w:rPr>
          <w:rFonts w:ascii="Times New Roman" w:hAnsi="Times New Roman" w:cs="Times New Roman"/>
          <w:sz w:val="24"/>
          <w:szCs w:val="24"/>
        </w:rPr>
        <w:t xml:space="preserve"> Empirically it is known that perpetrators of harassment</w:t>
      </w:r>
      <w:r w:rsidRPr="00253A53">
        <w:rPr>
          <w:rFonts w:ascii="Times New Roman" w:hAnsi="Times New Roman" w:cs="Times New Roman"/>
          <w:sz w:val="24"/>
          <w:szCs w:val="24"/>
          <w:lang w:val="en-US"/>
        </w:rPr>
        <w:t xml:space="preserve"> are most often co-workers of the employee harassed;</w:t>
      </w:r>
      <w:r w:rsidRPr="00253A53">
        <w:rPr>
          <w:rStyle w:val="FootnoteReference"/>
          <w:rFonts w:ascii="Times New Roman" w:hAnsi="Times New Roman" w:cs="Times New Roman"/>
          <w:sz w:val="24"/>
          <w:szCs w:val="24"/>
          <w:lang w:val="en-US"/>
        </w:rPr>
        <w:footnoteReference w:id="71"/>
      </w:r>
      <w:r w:rsidRPr="00253A53">
        <w:rPr>
          <w:rFonts w:ascii="Times New Roman" w:hAnsi="Times New Roman" w:cs="Times New Roman"/>
          <w:sz w:val="24"/>
          <w:szCs w:val="24"/>
          <w:lang w:val="en-US"/>
        </w:rPr>
        <w:t xml:space="preserve"> they are not usually the employer themselves. </w:t>
      </w:r>
      <w:r w:rsidRPr="00253A53">
        <w:rPr>
          <w:rFonts w:ascii="Times New Roman" w:hAnsi="Times New Roman" w:cs="Times New Roman"/>
          <w:sz w:val="24"/>
          <w:szCs w:val="24"/>
        </w:rPr>
        <w:t xml:space="preserve">Rendering the employer legally responsible for the harassing behaviour of its employees is important because potential liability focuses an employer’s mind on preventative </w:t>
      </w:r>
      <w:r w:rsidRPr="00253A53">
        <w:rPr>
          <w:rFonts w:ascii="Times New Roman" w:hAnsi="Times New Roman" w:cs="Times New Roman"/>
          <w:sz w:val="24"/>
          <w:szCs w:val="24"/>
        </w:rPr>
        <w:lastRenderedPageBreak/>
        <w:t>measures and shaping the culture of the workplace towards gender equality. Employers generally also have a deeper pocket (relative to a perpetrator) to satisfy a compensation order.</w:t>
      </w:r>
      <w:r w:rsidRPr="00253A53">
        <w:rPr>
          <w:rStyle w:val="FootnoteReference"/>
          <w:rFonts w:ascii="Times New Roman" w:hAnsi="Times New Roman" w:cs="Times New Roman"/>
          <w:sz w:val="24"/>
          <w:szCs w:val="24"/>
        </w:rPr>
        <w:footnoteReference w:id="72"/>
      </w:r>
    </w:p>
    <w:p w14:paraId="320269CB" w14:textId="56EF8BEB" w:rsidR="00526B9C" w:rsidRPr="00253A53" w:rsidRDefault="00543F23" w:rsidP="002A6A9D">
      <w:pPr>
        <w:jc w:val="both"/>
        <w:rPr>
          <w:rFonts w:ascii="Times New Roman" w:hAnsi="Times New Roman" w:cs="Times New Roman"/>
          <w:sz w:val="24"/>
          <w:szCs w:val="24"/>
        </w:rPr>
      </w:pPr>
      <w:r w:rsidRPr="00253A53">
        <w:rPr>
          <w:rFonts w:ascii="Times New Roman" w:hAnsi="Times New Roman" w:cs="Times New Roman"/>
          <w:sz w:val="24"/>
          <w:szCs w:val="24"/>
          <w:lang w:val="en-US"/>
        </w:rPr>
        <w:t xml:space="preserve">The challenges in holding an employer liable for harassment perpetrated by a co-worker of the claimant appear insurmountable. </w:t>
      </w:r>
      <w:r w:rsidRPr="00253A53">
        <w:rPr>
          <w:rFonts w:ascii="Times New Roman" w:hAnsi="Times New Roman" w:cs="Times New Roman"/>
          <w:sz w:val="24"/>
          <w:szCs w:val="24"/>
        </w:rPr>
        <w:t>Section 342(1) item 1 is explicit that ‘adverse action’ is taken by an ‘employer’ against an ‘employee’, if ‘the employer’ ‘injures’ the ‘employee’ etc. There are no explicit provisions that render the employer liable for the conduct of its own employees that falls within the descriptions of items 1(b),</w:t>
      </w:r>
      <w:r w:rsidR="00E51A88">
        <w:rPr>
          <w:rFonts w:ascii="Times New Roman" w:hAnsi="Times New Roman" w:cs="Times New Roman"/>
          <w:sz w:val="24"/>
          <w:szCs w:val="24"/>
        </w:rPr>
        <w:t xml:space="preserve"> </w:t>
      </w:r>
      <w:r w:rsidRPr="00253A53">
        <w:rPr>
          <w:rFonts w:ascii="Times New Roman" w:hAnsi="Times New Roman" w:cs="Times New Roman"/>
          <w:sz w:val="24"/>
          <w:szCs w:val="24"/>
        </w:rPr>
        <w:t>(c) or (d).</w:t>
      </w:r>
      <w:r w:rsidRPr="00253A53">
        <w:rPr>
          <w:rStyle w:val="FootnoteReference"/>
          <w:rFonts w:ascii="Times New Roman" w:hAnsi="Times New Roman" w:cs="Times New Roman"/>
          <w:sz w:val="24"/>
          <w:szCs w:val="24"/>
        </w:rPr>
        <w:footnoteReference w:id="73"/>
      </w:r>
      <w:r w:rsidRPr="00253A53">
        <w:rPr>
          <w:rFonts w:ascii="Times New Roman" w:hAnsi="Times New Roman" w:cs="Times New Roman"/>
          <w:sz w:val="24"/>
          <w:szCs w:val="24"/>
        </w:rPr>
        <w:t xml:space="preserve"> This is a significant omission in the drafting of Part 3-1, confirmed in </w:t>
      </w:r>
      <w:r w:rsidRPr="00253A53">
        <w:rPr>
          <w:rFonts w:ascii="Times New Roman" w:hAnsi="Times New Roman" w:cs="Times New Roman"/>
          <w:i/>
          <w:sz w:val="24"/>
          <w:szCs w:val="24"/>
        </w:rPr>
        <w:t xml:space="preserve">Wang v </w:t>
      </w:r>
      <w:proofErr w:type="spellStart"/>
      <w:r w:rsidRPr="00253A53">
        <w:rPr>
          <w:rFonts w:ascii="Times New Roman" w:hAnsi="Times New Roman" w:cs="Times New Roman"/>
          <w:i/>
          <w:sz w:val="24"/>
          <w:szCs w:val="24"/>
        </w:rPr>
        <w:t>Sceats</w:t>
      </w:r>
      <w:proofErr w:type="spellEnd"/>
      <w:r w:rsidRPr="00253A53">
        <w:rPr>
          <w:rFonts w:ascii="Times New Roman" w:hAnsi="Times New Roman" w:cs="Times New Roman"/>
          <w:i/>
          <w:sz w:val="24"/>
          <w:szCs w:val="24"/>
        </w:rPr>
        <w:t xml:space="preserve"> </w:t>
      </w:r>
      <w:r w:rsidR="00C87468">
        <w:rPr>
          <w:rFonts w:ascii="Times New Roman" w:hAnsi="Times New Roman" w:cs="Times New Roman"/>
          <w:iCs/>
          <w:sz w:val="24"/>
          <w:szCs w:val="24"/>
        </w:rPr>
        <w:t>(</w:t>
      </w:r>
      <w:r w:rsidR="00C87468">
        <w:rPr>
          <w:rFonts w:ascii="Times New Roman" w:hAnsi="Times New Roman" w:cs="Times New Roman"/>
          <w:i/>
          <w:sz w:val="24"/>
          <w:szCs w:val="24"/>
        </w:rPr>
        <w:t>Wang</w:t>
      </w:r>
      <w:r w:rsidR="00C87468">
        <w:rPr>
          <w:rFonts w:ascii="Times New Roman" w:hAnsi="Times New Roman" w:cs="Times New Roman"/>
          <w:iCs/>
          <w:sz w:val="24"/>
          <w:szCs w:val="24"/>
        </w:rPr>
        <w:t xml:space="preserve">) </w:t>
      </w:r>
      <w:r w:rsidRPr="00253A53">
        <w:rPr>
          <w:rFonts w:ascii="Times New Roman" w:hAnsi="Times New Roman" w:cs="Times New Roman"/>
          <w:sz w:val="24"/>
          <w:szCs w:val="24"/>
        </w:rPr>
        <w:t>where Ms Wang claimed that two other (named) employees of her corporate employer had bullied her.</w:t>
      </w:r>
      <w:r w:rsidRPr="00253A53">
        <w:rPr>
          <w:rStyle w:val="FootnoteReference"/>
          <w:rFonts w:ascii="Times New Roman" w:hAnsi="Times New Roman" w:cs="Times New Roman"/>
          <w:sz w:val="24"/>
          <w:szCs w:val="24"/>
        </w:rPr>
        <w:footnoteReference w:id="74"/>
      </w:r>
      <w:r w:rsidRPr="00253A53">
        <w:rPr>
          <w:rFonts w:ascii="Times New Roman" w:hAnsi="Times New Roman" w:cs="Times New Roman"/>
          <w:sz w:val="24"/>
          <w:szCs w:val="24"/>
        </w:rPr>
        <w:t xml:space="preserve"> The court pointed out that s 342(1) item 1 prohibits ‘adverse action’ taken by an employer against an employee, and not adverse behaviour towards an employee taken by another employee (or employees) of the employer.</w:t>
      </w:r>
      <w:r w:rsidRPr="00253A53">
        <w:rPr>
          <w:rStyle w:val="FootnoteReference"/>
          <w:rFonts w:ascii="Times New Roman" w:hAnsi="Times New Roman" w:cs="Times New Roman"/>
          <w:sz w:val="24"/>
          <w:szCs w:val="24"/>
        </w:rPr>
        <w:footnoteReference w:id="75"/>
      </w:r>
      <w:r w:rsidRPr="00253A53">
        <w:rPr>
          <w:rFonts w:ascii="Times New Roman" w:hAnsi="Times New Roman" w:cs="Times New Roman"/>
          <w:sz w:val="24"/>
          <w:szCs w:val="24"/>
        </w:rPr>
        <w:t xml:space="preserve"> Ultimately in this case the court did not indicate whether the allegations of harassment made by Ms Wang were substantiated on the facts, suggesting that even if they were, that did not enliven the employer’s liability under s 342(1) item 1.</w:t>
      </w:r>
      <w:r w:rsidRPr="00253A53">
        <w:rPr>
          <w:rStyle w:val="FootnoteReference"/>
          <w:rFonts w:ascii="Times New Roman" w:hAnsi="Times New Roman" w:cs="Times New Roman"/>
          <w:sz w:val="24"/>
          <w:szCs w:val="24"/>
        </w:rPr>
        <w:footnoteReference w:id="76"/>
      </w:r>
      <w:r w:rsidRPr="00253A53">
        <w:rPr>
          <w:rFonts w:ascii="Times New Roman" w:hAnsi="Times New Roman" w:cs="Times New Roman"/>
          <w:sz w:val="24"/>
          <w:szCs w:val="24"/>
        </w:rPr>
        <w:t xml:space="preserve"> </w:t>
      </w:r>
    </w:p>
    <w:p w14:paraId="320269CC" w14:textId="53A6D96C" w:rsidR="00526B9C" w:rsidRPr="00253A53" w:rsidRDefault="00543F23" w:rsidP="002A6A9D">
      <w:pPr>
        <w:jc w:val="both"/>
        <w:rPr>
          <w:rFonts w:ascii="Times New Roman" w:hAnsi="Times New Roman" w:cs="Times New Roman"/>
          <w:color w:val="FF0000"/>
          <w:sz w:val="24"/>
          <w:szCs w:val="24"/>
        </w:rPr>
      </w:pPr>
      <w:r w:rsidRPr="00253A53">
        <w:rPr>
          <w:rFonts w:ascii="Times New Roman" w:hAnsi="Times New Roman" w:cs="Times New Roman"/>
          <w:sz w:val="24"/>
          <w:szCs w:val="24"/>
        </w:rPr>
        <w:t>Although Part 3-1 lacks an attributed (or vicarious) liability mechanism,</w:t>
      </w:r>
      <w:r w:rsidRPr="00253A53">
        <w:rPr>
          <w:rStyle w:val="FootnoteReference"/>
          <w:rFonts w:ascii="Times New Roman" w:hAnsi="Times New Roman" w:cs="Times New Roman"/>
          <w:sz w:val="24"/>
          <w:szCs w:val="24"/>
        </w:rPr>
        <w:footnoteReference w:id="77"/>
      </w:r>
      <w:r w:rsidRPr="00253A53">
        <w:rPr>
          <w:rFonts w:ascii="Times New Roman" w:hAnsi="Times New Roman" w:cs="Times New Roman"/>
          <w:sz w:val="24"/>
          <w:szCs w:val="24"/>
        </w:rPr>
        <w:t xml:space="preserve"> there is a provision elsewhere in the Act which is potentially relevant to liability under Part 3-1. This provision is contained in Part 6-5 and relates to employers that are a body corporate.</w:t>
      </w:r>
      <w:r w:rsidRPr="00253A53">
        <w:rPr>
          <w:rStyle w:val="FootnoteReference"/>
          <w:rFonts w:ascii="Times New Roman" w:hAnsi="Times New Roman" w:cs="Times New Roman"/>
          <w:sz w:val="24"/>
          <w:szCs w:val="24"/>
        </w:rPr>
        <w:footnoteReference w:id="78"/>
      </w:r>
      <w:r w:rsidRPr="00253A53">
        <w:rPr>
          <w:rFonts w:ascii="Times New Roman" w:hAnsi="Times New Roman" w:cs="Times New Roman"/>
          <w:sz w:val="24"/>
          <w:szCs w:val="24"/>
        </w:rPr>
        <w:t xml:space="preserve"> The relevant section </w:t>
      </w:r>
      <w:r w:rsidR="008A23F7" w:rsidRPr="00253A53">
        <w:rPr>
          <w:rFonts w:ascii="Times New Roman" w:hAnsi="Times New Roman" w:cs="Times New Roman"/>
          <w:sz w:val="24"/>
          <w:szCs w:val="24"/>
        </w:rPr>
        <w:t>—</w:t>
      </w:r>
      <w:r w:rsidRPr="00253A53">
        <w:rPr>
          <w:rFonts w:ascii="Times New Roman" w:hAnsi="Times New Roman" w:cs="Times New Roman"/>
          <w:sz w:val="24"/>
          <w:szCs w:val="24"/>
        </w:rPr>
        <w:t xml:space="preserve"> s 793(1) </w:t>
      </w:r>
      <w:proofErr w:type="gramStart"/>
      <w:r w:rsidR="008A23F7" w:rsidRPr="00253A53">
        <w:rPr>
          <w:rFonts w:ascii="Times New Roman" w:hAnsi="Times New Roman" w:cs="Times New Roman"/>
          <w:sz w:val="24"/>
          <w:szCs w:val="24"/>
        </w:rPr>
        <w:t xml:space="preserve">— </w:t>
      </w:r>
      <w:r w:rsidRPr="00253A53">
        <w:rPr>
          <w:rFonts w:ascii="Times New Roman" w:hAnsi="Times New Roman" w:cs="Times New Roman"/>
          <w:sz w:val="24"/>
          <w:szCs w:val="24"/>
        </w:rPr>
        <w:t xml:space="preserve"> was</w:t>
      </w:r>
      <w:proofErr w:type="gramEnd"/>
      <w:r w:rsidRPr="00253A53">
        <w:rPr>
          <w:rFonts w:ascii="Times New Roman" w:hAnsi="Times New Roman" w:cs="Times New Roman"/>
          <w:sz w:val="24"/>
          <w:szCs w:val="24"/>
        </w:rPr>
        <w:t xml:space="preserve"> not mentioned in the judgment in </w:t>
      </w:r>
      <w:r w:rsidRPr="00253A53">
        <w:rPr>
          <w:rFonts w:ascii="Times New Roman" w:hAnsi="Times New Roman" w:cs="Times New Roman"/>
          <w:i/>
          <w:sz w:val="24"/>
          <w:szCs w:val="24"/>
        </w:rPr>
        <w:t>Wang</w:t>
      </w:r>
      <w:r w:rsidRPr="00253A53">
        <w:rPr>
          <w:rFonts w:ascii="Times New Roman" w:hAnsi="Times New Roman" w:cs="Times New Roman"/>
          <w:sz w:val="24"/>
          <w:szCs w:val="24"/>
        </w:rPr>
        <w:t>, even though the employer there was a corporation. Section 793(1) provides that where an employee has engaged in conduct within the scope of the employee’s ‘actual or apparent authority’, then for the purposes of the FW</w:t>
      </w:r>
      <w:r w:rsidR="00E61607" w:rsidRPr="00253A53">
        <w:rPr>
          <w:rFonts w:ascii="Times New Roman" w:hAnsi="Times New Roman" w:cs="Times New Roman"/>
          <w:sz w:val="24"/>
          <w:szCs w:val="24"/>
        </w:rPr>
        <w:t xml:space="preserve"> </w:t>
      </w:r>
      <w:r w:rsidRPr="00253A53">
        <w:rPr>
          <w:rFonts w:ascii="Times New Roman" w:hAnsi="Times New Roman" w:cs="Times New Roman"/>
          <w:sz w:val="24"/>
          <w:szCs w:val="24"/>
        </w:rPr>
        <w:t>A</w:t>
      </w:r>
      <w:r w:rsidR="00E61607" w:rsidRPr="00253A53">
        <w:rPr>
          <w:rFonts w:ascii="Times New Roman" w:hAnsi="Times New Roman" w:cs="Times New Roman"/>
          <w:sz w:val="24"/>
          <w:szCs w:val="24"/>
        </w:rPr>
        <w:t>ct</w:t>
      </w:r>
      <w:r w:rsidRPr="00253A53">
        <w:rPr>
          <w:rFonts w:ascii="Times New Roman" w:hAnsi="Times New Roman" w:cs="Times New Roman"/>
          <w:sz w:val="24"/>
          <w:szCs w:val="24"/>
        </w:rPr>
        <w:t>, the conduct is taken to have been engaged in by the body corporate employer. The genesis of the concept of ‘apparent authority’ is found in equity and refers generally to the situation where it reasonably appears to a third party that, given the employer’s behaviour, the employee had the power to act as they did on behalf of the employer.</w:t>
      </w:r>
      <w:r w:rsidRPr="00253A53">
        <w:rPr>
          <w:rStyle w:val="FootnoteReference"/>
          <w:rFonts w:ascii="Times New Roman" w:hAnsi="Times New Roman" w:cs="Times New Roman"/>
          <w:sz w:val="24"/>
          <w:szCs w:val="24"/>
        </w:rPr>
        <w:footnoteReference w:id="79"/>
      </w:r>
      <w:r w:rsidRPr="00253A53">
        <w:rPr>
          <w:rFonts w:ascii="Times New Roman" w:hAnsi="Times New Roman" w:cs="Times New Roman"/>
          <w:sz w:val="24"/>
          <w:szCs w:val="24"/>
        </w:rPr>
        <w:t xml:space="preserve"> Clearly conduct amounting to harassment could never be within the scope of an employee’s ‘actual’ authority as the employer would not have consented to that behaviour, and it appears highly unlikely that harassing conduct could ever be found to be within the scope of an employee’s ‘apparent authority’ in the sense required by s 793.</w:t>
      </w:r>
      <w:r w:rsidRPr="00253A53">
        <w:rPr>
          <w:rStyle w:val="FootnoteReference"/>
          <w:rFonts w:ascii="Times New Roman" w:hAnsi="Times New Roman" w:cs="Times New Roman"/>
          <w:sz w:val="24"/>
          <w:szCs w:val="24"/>
        </w:rPr>
        <w:footnoteReference w:id="80"/>
      </w:r>
      <w:r w:rsidRPr="00253A53">
        <w:rPr>
          <w:rFonts w:ascii="Times New Roman" w:hAnsi="Times New Roman" w:cs="Times New Roman"/>
          <w:sz w:val="24"/>
          <w:szCs w:val="24"/>
        </w:rPr>
        <w:t xml:space="preserve"> </w:t>
      </w:r>
    </w:p>
    <w:p w14:paraId="320269CD" w14:textId="42DAB773" w:rsidR="00526B9C" w:rsidRPr="00253A53" w:rsidRDefault="00543F23" w:rsidP="002A6A9D">
      <w:pPr>
        <w:jc w:val="both"/>
        <w:rPr>
          <w:rFonts w:ascii="Times New Roman" w:hAnsi="Times New Roman" w:cs="Times New Roman"/>
          <w:sz w:val="24"/>
          <w:szCs w:val="24"/>
        </w:rPr>
      </w:pPr>
      <w:r w:rsidRPr="00253A53">
        <w:rPr>
          <w:rFonts w:ascii="Times New Roman" w:hAnsi="Times New Roman" w:cs="Times New Roman"/>
          <w:sz w:val="24"/>
          <w:szCs w:val="24"/>
        </w:rPr>
        <w:lastRenderedPageBreak/>
        <w:t>The FW</w:t>
      </w:r>
      <w:r w:rsidR="00E61607" w:rsidRPr="00253A53">
        <w:rPr>
          <w:rFonts w:ascii="Times New Roman" w:hAnsi="Times New Roman" w:cs="Times New Roman"/>
          <w:sz w:val="24"/>
          <w:szCs w:val="24"/>
        </w:rPr>
        <w:t xml:space="preserve"> </w:t>
      </w:r>
      <w:r w:rsidRPr="00253A53">
        <w:rPr>
          <w:rFonts w:ascii="Times New Roman" w:hAnsi="Times New Roman" w:cs="Times New Roman"/>
          <w:sz w:val="24"/>
          <w:szCs w:val="24"/>
        </w:rPr>
        <w:t>A</w:t>
      </w:r>
      <w:r w:rsidR="00E61607" w:rsidRPr="00253A53">
        <w:rPr>
          <w:rFonts w:ascii="Times New Roman" w:hAnsi="Times New Roman" w:cs="Times New Roman"/>
          <w:sz w:val="24"/>
          <w:szCs w:val="24"/>
        </w:rPr>
        <w:t>ct</w:t>
      </w:r>
      <w:r w:rsidRPr="00253A53">
        <w:rPr>
          <w:rFonts w:ascii="Times New Roman" w:hAnsi="Times New Roman" w:cs="Times New Roman"/>
          <w:sz w:val="24"/>
          <w:szCs w:val="24"/>
        </w:rPr>
        <w:t xml:space="preserve"> contains ‘accessorial liability’ provisions, but these do not provide an answer to the problem of rendering the employer liable for co-worker harassment. Section 550 provides that where a person contravenes certain provisions in the FW</w:t>
      </w:r>
      <w:r w:rsidR="00E61607" w:rsidRPr="00253A53">
        <w:rPr>
          <w:rFonts w:ascii="Times New Roman" w:hAnsi="Times New Roman" w:cs="Times New Roman"/>
          <w:sz w:val="24"/>
          <w:szCs w:val="24"/>
        </w:rPr>
        <w:t xml:space="preserve"> </w:t>
      </w:r>
      <w:r w:rsidRPr="00253A53">
        <w:rPr>
          <w:rFonts w:ascii="Times New Roman" w:hAnsi="Times New Roman" w:cs="Times New Roman"/>
          <w:sz w:val="24"/>
          <w:szCs w:val="24"/>
        </w:rPr>
        <w:t>A</w:t>
      </w:r>
      <w:r w:rsidR="00E61607" w:rsidRPr="00253A53">
        <w:rPr>
          <w:rFonts w:ascii="Times New Roman" w:hAnsi="Times New Roman" w:cs="Times New Roman"/>
          <w:sz w:val="24"/>
          <w:szCs w:val="24"/>
        </w:rPr>
        <w:t>ct</w:t>
      </w:r>
      <w:r w:rsidRPr="00253A53">
        <w:rPr>
          <w:rFonts w:ascii="Times New Roman" w:hAnsi="Times New Roman" w:cs="Times New Roman"/>
          <w:sz w:val="24"/>
          <w:szCs w:val="24"/>
        </w:rPr>
        <w:t xml:space="preserve"> (including s 351(1)), then any person who is ‘involved’ in that contravention has also breached the provision.</w:t>
      </w:r>
      <w:r w:rsidRPr="00253A53">
        <w:rPr>
          <w:rStyle w:val="FootnoteReference"/>
          <w:rFonts w:ascii="Times New Roman" w:hAnsi="Times New Roman" w:cs="Times New Roman"/>
          <w:sz w:val="24"/>
          <w:szCs w:val="24"/>
        </w:rPr>
        <w:footnoteReference w:id="81"/>
      </w:r>
      <w:r w:rsidRPr="00253A53">
        <w:rPr>
          <w:rFonts w:ascii="Times New Roman" w:hAnsi="Times New Roman" w:cs="Times New Roman"/>
          <w:sz w:val="24"/>
          <w:szCs w:val="24"/>
        </w:rPr>
        <w:t xml:space="preserve"> Importantly, s 550 will only render an accessory liable in circumstances where there has been a contravention of Part 3-1 by another person. It does not therefore address the difficulty of establishing that an employer has contravened Part 3-1 in the context of harassment conducted by a co-worker of the claimant.</w:t>
      </w:r>
    </w:p>
    <w:p w14:paraId="320269CE" w14:textId="77777777" w:rsidR="00526B9C" w:rsidRPr="00253A53" w:rsidRDefault="00543F23" w:rsidP="002A6A9D">
      <w:pPr>
        <w:jc w:val="both"/>
        <w:rPr>
          <w:rFonts w:ascii="Times New Roman" w:hAnsi="Times New Roman" w:cs="Times New Roman"/>
          <w:sz w:val="24"/>
          <w:szCs w:val="24"/>
        </w:rPr>
      </w:pPr>
      <w:r w:rsidRPr="00253A53">
        <w:rPr>
          <w:rFonts w:ascii="Times New Roman" w:hAnsi="Times New Roman" w:cs="Times New Roman"/>
          <w:sz w:val="24"/>
          <w:szCs w:val="24"/>
        </w:rPr>
        <w:t>There is an alternative path through which an employer might be liable for ‘adverse action’ under s 342(1) item 1 in circumstances of harassment. This is where the employer engages in ‘adverse action’ by victimising the claimant because they have complained or inquired (internally or externally), about their rights in relation sexual or other forms of harassment. This avenue is dependent on showing that the ‘adverse action’ arose ‘because’ of the claimant’s ‘workplace right’ to make a complaint.</w:t>
      </w:r>
      <w:r w:rsidRPr="00253A53">
        <w:rPr>
          <w:rStyle w:val="FootnoteReference"/>
          <w:rFonts w:ascii="Times New Roman" w:hAnsi="Times New Roman" w:cs="Times New Roman"/>
          <w:sz w:val="24"/>
          <w:szCs w:val="24"/>
        </w:rPr>
        <w:footnoteReference w:id="82"/>
      </w:r>
      <w:r w:rsidRPr="00253A53">
        <w:rPr>
          <w:rFonts w:ascii="Times New Roman" w:hAnsi="Times New Roman" w:cs="Times New Roman"/>
          <w:sz w:val="24"/>
          <w:szCs w:val="24"/>
        </w:rPr>
        <w:t xml:space="preserve"> Notably this avenue does not address the behaviour of harassment itself; it merely addresses the victimisation of the claimant for making a complaint or inquiry about the harassment.</w:t>
      </w:r>
    </w:p>
    <w:p w14:paraId="320269CF" w14:textId="703A27B1" w:rsidR="00526B9C" w:rsidRPr="00253A53" w:rsidRDefault="00543F23" w:rsidP="002A6A9D">
      <w:pPr>
        <w:jc w:val="both"/>
        <w:rPr>
          <w:rFonts w:ascii="Times New Roman" w:hAnsi="Times New Roman" w:cs="Times New Roman"/>
          <w:sz w:val="24"/>
          <w:szCs w:val="24"/>
        </w:rPr>
      </w:pPr>
      <w:r w:rsidRPr="00253A53">
        <w:rPr>
          <w:rFonts w:ascii="Times New Roman" w:hAnsi="Times New Roman" w:cs="Times New Roman"/>
          <w:color w:val="44546A" w:themeColor="text2"/>
          <w:sz w:val="24"/>
          <w:szCs w:val="24"/>
        </w:rPr>
        <w:t>I</w:t>
      </w:r>
      <w:r w:rsidRPr="00253A53">
        <w:rPr>
          <w:rFonts w:ascii="Times New Roman" w:hAnsi="Times New Roman" w:cs="Times New Roman"/>
          <w:sz w:val="24"/>
          <w:szCs w:val="24"/>
        </w:rPr>
        <w:t>t has been shown that although it appears likely that the behaviour of sexual harassment and other forms of harassment come within the concepts articulated as types of ‘adverse action’ in s 342(1), there may be difficulties in establishing the causal connection of ‘because’ and moreover there appear to be insurmountable barriers to holding the employer liable for that behaviour where, as is usual, the harasser is a co-worker of the claimant. This points to the need to enact standalone provisions in Part 3-1 on sexual and other forms of harassment, which contain liability rules providing clear and strong incentives for employers to take appropriate preventative measures.</w:t>
      </w:r>
      <w:r w:rsidRPr="00253A53">
        <w:rPr>
          <w:rStyle w:val="FootnoteReference"/>
          <w:rFonts w:ascii="Times New Roman" w:hAnsi="Times New Roman" w:cs="Times New Roman"/>
          <w:sz w:val="24"/>
          <w:szCs w:val="24"/>
        </w:rPr>
        <w:footnoteReference w:id="83"/>
      </w:r>
      <w:r w:rsidRPr="00253A53">
        <w:rPr>
          <w:rFonts w:ascii="Times New Roman" w:hAnsi="Times New Roman" w:cs="Times New Roman"/>
          <w:sz w:val="24"/>
          <w:szCs w:val="24"/>
        </w:rPr>
        <w:t xml:space="preserve"> As with statutory amendments to enact reasonable accommodation provisions discussed above, equality and discrimination legislation provides a useful place from which to start,</w:t>
      </w:r>
      <w:r w:rsidRPr="00253A53">
        <w:rPr>
          <w:rStyle w:val="FootnoteReference"/>
          <w:rFonts w:ascii="Times New Roman" w:hAnsi="Times New Roman" w:cs="Times New Roman"/>
          <w:sz w:val="24"/>
          <w:szCs w:val="24"/>
        </w:rPr>
        <w:footnoteReference w:id="84"/>
      </w:r>
      <w:r w:rsidRPr="00253A53">
        <w:rPr>
          <w:rFonts w:ascii="Times New Roman" w:hAnsi="Times New Roman" w:cs="Times New Roman"/>
          <w:sz w:val="24"/>
          <w:szCs w:val="24"/>
        </w:rPr>
        <w:t xml:space="preserve"> especially as informed by current discussions about the optimal form of legislation to address harassment.</w:t>
      </w:r>
      <w:r w:rsidRPr="00253A53">
        <w:rPr>
          <w:rStyle w:val="FootnoteReference"/>
          <w:rFonts w:ascii="Times New Roman" w:hAnsi="Times New Roman" w:cs="Times New Roman"/>
          <w:sz w:val="24"/>
          <w:szCs w:val="24"/>
        </w:rPr>
        <w:footnoteReference w:id="85"/>
      </w:r>
      <w:r w:rsidRPr="00253A53">
        <w:rPr>
          <w:rFonts w:ascii="Times New Roman" w:hAnsi="Times New Roman" w:cs="Times New Roman"/>
          <w:sz w:val="24"/>
          <w:szCs w:val="24"/>
        </w:rPr>
        <w:t xml:space="preserve">  </w:t>
      </w:r>
    </w:p>
    <w:p w14:paraId="70BD4CFC" w14:textId="77777777" w:rsidR="00207E2F" w:rsidRPr="002A6A9D" w:rsidRDefault="00207E2F" w:rsidP="002A6A9D">
      <w:pPr>
        <w:jc w:val="both"/>
        <w:rPr>
          <w:rFonts w:ascii="Arial" w:hAnsi="Arial" w:cs="Arial"/>
          <w:b/>
        </w:rPr>
      </w:pPr>
    </w:p>
    <w:p w14:paraId="7B8EC56E" w14:textId="110B44B0" w:rsidR="00207E2F" w:rsidRPr="005F4211" w:rsidRDefault="00543F23" w:rsidP="00C538EF">
      <w:pPr>
        <w:jc w:val="center"/>
        <w:rPr>
          <w:rFonts w:ascii="Arial" w:hAnsi="Arial" w:cs="Arial"/>
          <w:b/>
          <w:sz w:val="28"/>
          <w:szCs w:val="28"/>
        </w:rPr>
      </w:pPr>
      <w:r w:rsidRPr="005F4211">
        <w:rPr>
          <w:rFonts w:ascii="Arial" w:hAnsi="Arial" w:cs="Arial"/>
          <w:b/>
          <w:sz w:val="28"/>
          <w:szCs w:val="28"/>
        </w:rPr>
        <w:t>Conclusion</w:t>
      </w:r>
    </w:p>
    <w:p w14:paraId="320269D1" w14:textId="78699AEC" w:rsidR="00526B9C" w:rsidRPr="00253A53" w:rsidRDefault="00543F23" w:rsidP="002A6A9D">
      <w:pPr>
        <w:jc w:val="both"/>
        <w:rPr>
          <w:rFonts w:ascii="Times New Roman" w:hAnsi="Times New Roman" w:cs="Times New Roman"/>
          <w:sz w:val="24"/>
          <w:szCs w:val="24"/>
        </w:rPr>
      </w:pPr>
      <w:r w:rsidRPr="00253A53">
        <w:rPr>
          <w:rFonts w:ascii="Times New Roman" w:hAnsi="Times New Roman" w:cs="Times New Roman"/>
          <w:sz w:val="24"/>
          <w:szCs w:val="24"/>
        </w:rPr>
        <w:t xml:space="preserve">This article has examined the extent to which the ‘adverse action’ protections in Part 3-1 provide effective provisions in relation to two matters that are core in any set of provisions seeking to generate equality in a substantive sense in the workplace. The first is an obligation on employers to reasonably accommodate an employee where an employee seeks accommodation or adjustment in connection with disability or another attribute listed in s 351(1). The second matter is effective prohibitions on sexual and other forms of harassment, and employer liability in the most common scenario where the harassment is carried out by a co-worker of the claimant employee, rather than the employer themselves. The article shows that Part 3-1 is deficient in relation to both these matters. Explicit </w:t>
      </w:r>
      <w:r w:rsidRPr="00253A53">
        <w:rPr>
          <w:rFonts w:ascii="Times New Roman" w:hAnsi="Times New Roman" w:cs="Times New Roman"/>
          <w:sz w:val="24"/>
          <w:szCs w:val="24"/>
        </w:rPr>
        <w:lastRenderedPageBreak/>
        <w:t xml:space="preserve">legislative protections are lacking, and courts have not been prepared to read these protections into the </w:t>
      </w:r>
      <w:r w:rsidR="00023F1E" w:rsidRPr="00253A53">
        <w:rPr>
          <w:rFonts w:ascii="Times New Roman" w:hAnsi="Times New Roman" w:cs="Times New Roman"/>
          <w:sz w:val="24"/>
          <w:szCs w:val="24"/>
        </w:rPr>
        <w:t>current provisions.</w:t>
      </w:r>
    </w:p>
    <w:p w14:paraId="320269D2" w14:textId="5901CA08" w:rsidR="00526B9C" w:rsidRPr="00253A53" w:rsidRDefault="00543F23" w:rsidP="002A6A9D">
      <w:pPr>
        <w:jc w:val="both"/>
        <w:rPr>
          <w:rFonts w:ascii="Times New Roman" w:hAnsi="Times New Roman" w:cs="Times New Roman"/>
          <w:sz w:val="24"/>
          <w:szCs w:val="24"/>
        </w:rPr>
      </w:pPr>
      <w:r w:rsidRPr="00253A53">
        <w:rPr>
          <w:rFonts w:ascii="Times New Roman" w:hAnsi="Times New Roman" w:cs="Times New Roman"/>
          <w:sz w:val="24"/>
          <w:szCs w:val="24"/>
        </w:rPr>
        <w:t>The article points to amendments that are needed, so that Part 3-1 is more equality-enabling in relation to these matters. In addition to those amendments, it would be desirable to amend the objectives of the FW</w:t>
      </w:r>
      <w:r w:rsidR="00FB1116" w:rsidRPr="00253A53">
        <w:rPr>
          <w:rFonts w:ascii="Times New Roman" w:hAnsi="Times New Roman" w:cs="Times New Roman"/>
          <w:sz w:val="24"/>
          <w:szCs w:val="24"/>
        </w:rPr>
        <w:t xml:space="preserve"> </w:t>
      </w:r>
      <w:r w:rsidRPr="00253A53">
        <w:rPr>
          <w:rFonts w:ascii="Times New Roman" w:hAnsi="Times New Roman" w:cs="Times New Roman"/>
          <w:sz w:val="24"/>
          <w:szCs w:val="24"/>
        </w:rPr>
        <w:t>A</w:t>
      </w:r>
      <w:r w:rsidR="00FB1116" w:rsidRPr="00253A53">
        <w:rPr>
          <w:rFonts w:ascii="Times New Roman" w:hAnsi="Times New Roman" w:cs="Times New Roman"/>
          <w:sz w:val="24"/>
          <w:szCs w:val="24"/>
        </w:rPr>
        <w:t>ct</w:t>
      </w:r>
      <w:r w:rsidRPr="00253A53">
        <w:rPr>
          <w:rFonts w:ascii="Times New Roman" w:hAnsi="Times New Roman" w:cs="Times New Roman"/>
          <w:sz w:val="24"/>
          <w:szCs w:val="24"/>
        </w:rPr>
        <w:t>, as well as Part 3-1, to ensure that the achievement of substantive equality is named explicitly.</w:t>
      </w:r>
      <w:r w:rsidRPr="00253A53">
        <w:rPr>
          <w:rStyle w:val="FootnoteReference"/>
          <w:rFonts w:ascii="Times New Roman" w:hAnsi="Times New Roman" w:cs="Times New Roman"/>
          <w:sz w:val="24"/>
          <w:szCs w:val="24"/>
        </w:rPr>
        <w:footnoteReference w:id="86"/>
      </w:r>
      <w:r w:rsidRPr="00253A53">
        <w:rPr>
          <w:rFonts w:ascii="Times New Roman" w:hAnsi="Times New Roman" w:cs="Times New Roman"/>
          <w:sz w:val="24"/>
          <w:szCs w:val="24"/>
        </w:rPr>
        <w:t xml:space="preserve"> Strong support exists in favour of the enactment of a positive equality duty on employers to eliminate discrimination and harassment and promote a safe work environment, and this would also be a highly desirable reform to Part 3-1, complementing a duty to accommodate and explicit sexual harassment provisions.</w:t>
      </w:r>
      <w:r w:rsidRPr="00253A53">
        <w:rPr>
          <w:rStyle w:val="FootnoteReference"/>
          <w:rFonts w:ascii="Times New Roman" w:hAnsi="Times New Roman" w:cs="Times New Roman"/>
          <w:sz w:val="24"/>
          <w:szCs w:val="24"/>
        </w:rPr>
        <w:footnoteReference w:id="87"/>
      </w:r>
      <w:r w:rsidRPr="00253A53">
        <w:rPr>
          <w:rFonts w:ascii="Times New Roman" w:hAnsi="Times New Roman" w:cs="Times New Roman"/>
          <w:sz w:val="24"/>
          <w:szCs w:val="24"/>
        </w:rPr>
        <w:t xml:space="preserve"> Procedural aspects of bringing and pursuing a claim under Part 3-1 also require attention.</w:t>
      </w:r>
      <w:r w:rsidRPr="00253A53">
        <w:rPr>
          <w:rStyle w:val="FootnoteReference"/>
          <w:rFonts w:ascii="Times New Roman" w:hAnsi="Times New Roman" w:cs="Times New Roman"/>
          <w:sz w:val="24"/>
          <w:szCs w:val="24"/>
        </w:rPr>
        <w:footnoteReference w:id="88"/>
      </w:r>
      <w:r w:rsidRPr="00253A53">
        <w:rPr>
          <w:rFonts w:ascii="Times New Roman" w:hAnsi="Times New Roman" w:cs="Times New Roman"/>
          <w:sz w:val="24"/>
          <w:szCs w:val="24"/>
        </w:rPr>
        <w:t xml:space="preserve"> </w:t>
      </w:r>
    </w:p>
    <w:p w14:paraId="320269D3" w14:textId="77777777" w:rsidR="00526B9C" w:rsidRPr="00253A53" w:rsidRDefault="00526B9C" w:rsidP="002A6A9D">
      <w:pPr>
        <w:jc w:val="both"/>
        <w:rPr>
          <w:rFonts w:ascii="Times New Roman" w:hAnsi="Times New Roman" w:cs="Times New Roman"/>
          <w:sz w:val="24"/>
          <w:szCs w:val="24"/>
        </w:rPr>
      </w:pPr>
    </w:p>
    <w:sectPr w:rsidR="00526B9C" w:rsidRPr="00253A53" w:rsidSect="005D1CDA">
      <w:headerReference w:type="even" r:id="rId15"/>
      <w:headerReference w:type="default" r:id="rId16"/>
      <w:footerReference w:type="even" r:id="rId17"/>
      <w:footerReference w:type="default" r:id="rId18"/>
      <w:headerReference w:type="first" r:id="rId19"/>
      <w:footerReference w:type="first" r:id="rId20"/>
      <w:pgSz w:w="11906" w:h="16838"/>
      <w:pgMar w:top="1440" w:right="991" w:bottom="144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DC81A" w14:textId="77777777" w:rsidR="001C6C47" w:rsidRDefault="001C6C47">
      <w:pPr>
        <w:spacing w:after="0" w:line="240" w:lineRule="auto"/>
      </w:pPr>
      <w:r>
        <w:separator/>
      </w:r>
    </w:p>
  </w:endnote>
  <w:endnote w:type="continuationSeparator" w:id="0">
    <w:p w14:paraId="1A8F47FB" w14:textId="77777777" w:rsidR="001C6C47" w:rsidRDefault="001C6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7BE22" w14:textId="77777777" w:rsidR="005D1CDA" w:rsidRDefault="005D1C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2256486"/>
      <w:docPartObj>
        <w:docPartGallery w:val="Page Numbers (Bottom of Page)"/>
        <w:docPartUnique/>
      </w:docPartObj>
    </w:sdtPr>
    <w:sdtEndPr>
      <w:rPr>
        <w:noProof/>
      </w:rPr>
    </w:sdtEndPr>
    <w:sdtContent>
      <w:p w14:paraId="320269D8" w14:textId="77777777" w:rsidR="00526B9C" w:rsidRDefault="00543F2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20269D9" w14:textId="77777777" w:rsidR="00526B9C" w:rsidRDefault="00526B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FA7DB" w14:textId="77777777" w:rsidR="005D1CDA" w:rsidRDefault="005D1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88FA3B" w14:textId="77777777" w:rsidR="001C6C47" w:rsidRDefault="001C6C47">
      <w:pPr>
        <w:spacing w:after="0" w:line="240" w:lineRule="auto"/>
      </w:pPr>
      <w:r>
        <w:separator/>
      </w:r>
    </w:p>
  </w:footnote>
  <w:footnote w:type="continuationSeparator" w:id="0">
    <w:p w14:paraId="204332C7" w14:textId="77777777" w:rsidR="001C6C47" w:rsidRDefault="001C6C47">
      <w:pPr>
        <w:spacing w:after="0" w:line="240" w:lineRule="auto"/>
      </w:pPr>
      <w:r>
        <w:continuationSeparator/>
      </w:r>
    </w:p>
  </w:footnote>
  <w:footnote w:id="1">
    <w:p w14:paraId="320269DA" w14:textId="05DF143D" w:rsidR="00526B9C" w:rsidRPr="00485A08" w:rsidRDefault="00543F23" w:rsidP="00485A08">
      <w:pPr>
        <w:pStyle w:val="FootnoteText"/>
        <w:jc w:val="both"/>
        <w:rPr>
          <w:rFonts w:ascii="Times New Roman" w:hAnsi="Times New Roman" w:cs="Times New Roman"/>
        </w:rPr>
      </w:pPr>
      <w:r w:rsidRPr="00485A08">
        <w:rPr>
          <w:rFonts w:ascii="Times New Roman" w:hAnsi="Times New Roman" w:cs="Times New Roman"/>
        </w:rPr>
        <w:t xml:space="preserve">*Professor, Melbourne Law School, University of Melbourne. I </w:t>
      </w:r>
      <w:r w:rsidR="00406FD3" w:rsidRPr="00485A08">
        <w:rPr>
          <w:rFonts w:ascii="Times New Roman" w:hAnsi="Times New Roman" w:cs="Times New Roman"/>
        </w:rPr>
        <w:t xml:space="preserve">am very grateful to </w:t>
      </w:r>
      <w:r w:rsidRPr="00485A08">
        <w:rPr>
          <w:rFonts w:ascii="Times New Roman" w:hAnsi="Times New Roman" w:cs="Times New Roman"/>
        </w:rPr>
        <w:t xml:space="preserve">Beth Gaze for </w:t>
      </w:r>
      <w:r w:rsidR="00990F46" w:rsidRPr="00485A08">
        <w:rPr>
          <w:rFonts w:ascii="Times New Roman" w:hAnsi="Times New Roman" w:cs="Times New Roman"/>
        </w:rPr>
        <w:t xml:space="preserve">our </w:t>
      </w:r>
      <w:r w:rsidR="00406FD3" w:rsidRPr="00485A08">
        <w:rPr>
          <w:rFonts w:ascii="Times New Roman" w:hAnsi="Times New Roman" w:cs="Times New Roman"/>
        </w:rPr>
        <w:t xml:space="preserve">discussions in relation to this article and </w:t>
      </w:r>
      <w:r w:rsidR="00FD69AD" w:rsidRPr="00485A08">
        <w:rPr>
          <w:rFonts w:ascii="Times New Roman" w:hAnsi="Times New Roman" w:cs="Times New Roman"/>
        </w:rPr>
        <w:t xml:space="preserve">our work together </w:t>
      </w:r>
      <w:r w:rsidRPr="00485A08">
        <w:rPr>
          <w:rFonts w:ascii="Times New Roman" w:hAnsi="Times New Roman" w:cs="Times New Roman"/>
        </w:rPr>
        <w:t>on an earlier ARC funded project, from which this article emerged</w:t>
      </w:r>
      <w:r w:rsidR="00166B06" w:rsidRPr="00485A08">
        <w:rPr>
          <w:rFonts w:ascii="Times New Roman" w:hAnsi="Times New Roman" w:cs="Times New Roman"/>
        </w:rPr>
        <w:t xml:space="preserve"> </w:t>
      </w:r>
      <w:r w:rsidR="00436360" w:rsidRPr="00485A08">
        <w:rPr>
          <w:rFonts w:ascii="Times New Roman" w:hAnsi="Times New Roman" w:cs="Times New Roman"/>
        </w:rPr>
        <w:t>(Discovery Project DP 110101076, 2011-2016)</w:t>
      </w:r>
      <w:r w:rsidR="002C555F" w:rsidRPr="00485A08">
        <w:rPr>
          <w:rFonts w:ascii="Times New Roman" w:hAnsi="Times New Roman" w:cs="Times New Roman"/>
        </w:rPr>
        <w:t>.</w:t>
      </w:r>
      <w:r w:rsidRPr="00485A08">
        <w:rPr>
          <w:rFonts w:ascii="Times New Roman" w:hAnsi="Times New Roman" w:cs="Times New Roman"/>
        </w:rPr>
        <w:t xml:space="preserve"> That project examined the intersections of Part 3-1 with equality and discrimination law. I also thank Jahangir (Jay) Mahmood for excellent research assistance</w:t>
      </w:r>
      <w:r w:rsidR="00166B06" w:rsidRPr="00485A08">
        <w:rPr>
          <w:rFonts w:ascii="Times New Roman" w:hAnsi="Times New Roman" w:cs="Times New Roman"/>
        </w:rPr>
        <w:t xml:space="preserve"> on this article</w:t>
      </w:r>
      <w:r w:rsidRPr="00485A08">
        <w:rPr>
          <w:rFonts w:ascii="Times New Roman" w:hAnsi="Times New Roman" w:cs="Times New Roman"/>
        </w:rPr>
        <w:t>.</w:t>
      </w:r>
    </w:p>
    <w:p w14:paraId="320269DB" w14:textId="5A1821DB"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F</w:t>
      </w:r>
      <w:r w:rsidR="0098310D" w:rsidRPr="00485A08">
        <w:rPr>
          <w:rFonts w:ascii="Times New Roman" w:hAnsi="Times New Roman" w:cs="Times New Roman"/>
        </w:rPr>
        <w:t>air Work Act 2009 (Cth) (FW Act)</w:t>
      </w:r>
      <w:r w:rsidRPr="00485A08">
        <w:rPr>
          <w:rFonts w:ascii="Times New Roman" w:hAnsi="Times New Roman" w:cs="Times New Roman"/>
        </w:rPr>
        <w:t xml:space="preserve"> s 3(e).</w:t>
      </w:r>
    </w:p>
  </w:footnote>
  <w:footnote w:id="2">
    <w:p w14:paraId="320269DC" w14:textId="102CBE73"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007A01F7">
        <w:rPr>
          <w:rFonts w:ascii="Times New Roman" w:hAnsi="Times New Roman" w:cs="Times New Roman"/>
        </w:rPr>
        <w:t>Ibid,</w:t>
      </w:r>
      <w:r w:rsidR="00C000A8" w:rsidRPr="00485A08">
        <w:rPr>
          <w:rFonts w:ascii="Times New Roman" w:hAnsi="Times New Roman" w:cs="Times New Roman"/>
        </w:rPr>
        <w:t xml:space="preserve"> </w:t>
      </w:r>
      <w:r w:rsidRPr="00485A08">
        <w:rPr>
          <w:rFonts w:ascii="Times New Roman" w:hAnsi="Times New Roman" w:cs="Times New Roman"/>
        </w:rPr>
        <w:t>s 336(1)(c)</w:t>
      </w:r>
      <w:r w:rsidR="00AE6ADD" w:rsidRPr="00485A08">
        <w:rPr>
          <w:rFonts w:ascii="Times New Roman" w:hAnsi="Times New Roman" w:cs="Times New Roman"/>
        </w:rPr>
        <w:t>,</w:t>
      </w:r>
      <w:r w:rsidRPr="00485A08">
        <w:rPr>
          <w:rFonts w:ascii="Times New Roman" w:hAnsi="Times New Roman" w:cs="Times New Roman"/>
        </w:rPr>
        <w:t xml:space="preserve"> (d). See also s 578(c).</w:t>
      </w:r>
    </w:p>
  </w:footnote>
  <w:footnote w:id="3">
    <w:p w14:paraId="320269DD" w14:textId="1F930836" w:rsidR="00526B9C" w:rsidRPr="00485A08" w:rsidRDefault="00543F23" w:rsidP="00485A08">
      <w:pPr>
        <w:spacing w:after="0"/>
        <w:jc w:val="both"/>
        <w:rPr>
          <w:rFonts w:ascii="Times New Roman" w:hAnsi="Times New Roman" w:cs="Times New Roman"/>
          <w:sz w:val="20"/>
          <w:szCs w:val="20"/>
        </w:rPr>
      </w:pPr>
      <w:r w:rsidRPr="00485A08">
        <w:rPr>
          <w:rStyle w:val="FootnoteReference"/>
          <w:rFonts w:ascii="Times New Roman" w:hAnsi="Times New Roman" w:cs="Times New Roman"/>
          <w:sz w:val="20"/>
          <w:szCs w:val="20"/>
        </w:rPr>
        <w:footnoteRef/>
      </w:r>
      <w:r w:rsidRPr="00485A08">
        <w:rPr>
          <w:rFonts w:ascii="Times New Roman" w:hAnsi="Times New Roman" w:cs="Times New Roman"/>
          <w:sz w:val="20"/>
          <w:szCs w:val="20"/>
        </w:rPr>
        <w:t xml:space="preserve"> Indeed, the word equality does not appear at all in the FW</w:t>
      </w:r>
      <w:r w:rsidR="00BB57A4" w:rsidRPr="00485A08">
        <w:rPr>
          <w:rFonts w:ascii="Times New Roman" w:hAnsi="Times New Roman" w:cs="Times New Roman"/>
          <w:sz w:val="20"/>
          <w:szCs w:val="20"/>
        </w:rPr>
        <w:t xml:space="preserve"> </w:t>
      </w:r>
      <w:r w:rsidRPr="00485A08">
        <w:rPr>
          <w:rFonts w:ascii="Times New Roman" w:hAnsi="Times New Roman" w:cs="Times New Roman"/>
          <w:sz w:val="20"/>
          <w:szCs w:val="20"/>
        </w:rPr>
        <w:t>A</w:t>
      </w:r>
      <w:r w:rsidR="00BB57A4" w:rsidRPr="00485A08">
        <w:rPr>
          <w:rFonts w:ascii="Times New Roman" w:hAnsi="Times New Roman" w:cs="Times New Roman"/>
          <w:sz w:val="20"/>
          <w:szCs w:val="20"/>
        </w:rPr>
        <w:t>ct</w:t>
      </w:r>
      <w:r w:rsidRPr="00485A08">
        <w:rPr>
          <w:rFonts w:ascii="Times New Roman" w:hAnsi="Times New Roman" w:cs="Times New Roman"/>
          <w:sz w:val="20"/>
          <w:szCs w:val="20"/>
        </w:rPr>
        <w:t xml:space="preserve">. </w:t>
      </w:r>
    </w:p>
  </w:footnote>
  <w:footnote w:id="4">
    <w:p w14:paraId="320269DE" w14:textId="5B5DC03F"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I</w:t>
      </w:r>
      <w:r w:rsidR="00767B66" w:rsidRPr="00485A08">
        <w:rPr>
          <w:rFonts w:ascii="Times New Roman" w:hAnsi="Times New Roman" w:cs="Times New Roman"/>
        </w:rPr>
        <w:t xml:space="preserve">nternational </w:t>
      </w:r>
      <w:r w:rsidRPr="00485A08">
        <w:rPr>
          <w:rFonts w:ascii="Times New Roman" w:hAnsi="Times New Roman" w:cs="Times New Roman"/>
        </w:rPr>
        <w:t>L</w:t>
      </w:r>
      <w:r w:rsidR="00767B66" w:rsidRPr="00485A08">
        <w:rPr>
          <w:rFonts w:ascii="Times New Roman" w:hAnsi="Times New Roman" w:cs="Times New Roman"/>
        </w:rPr>
        <w:t xml:space="preserve">abour </w:t>
      </w:r>
      <w:r w:rsidRPr="00485A08">
        <w:rPr>
          <w:rFonts w:ascii="Times New Roman" w:hAnsi="Times New Roman" w:cs="Times New Roman"/>
        </w:rPr>
        <w:t>O</w:t>
      </w:r>
      <w:r w:rsidR="00767B66" w:rsidRPr="00485A08">
        <w:rPr>
          <w:rFonts w:ascii="Times New Roman" w:hAnsi="Times New Roman" w:cs="Times New Roman"/>
        </w:rPr>
        <w:t>rganization</w:t>
      </w:r>
      <w:r w:rsidR="00BD3DAD">
        <w:rPr>
          <w:rFonts w:ascii="Times New Roman" w:hAnsi="Times New Roman" w:cs="Times New Roman"/>
        </w:rPr>
        <w:t xml:space="preserve"> (ILO)</w:t>
      </w:r>
      <w:r w:rsidRPr="00485A08">
        <w:rPr>
          <w:rFonts w:ascii="Times New Roman" w:hAnsi="Times New Roman" w:cs="Times New Roman"/>
        </w:rPr>
        <w:t xml:space="preserve">, </w:t>
      </w:r>
      <w:r w:rsidRPr="00485A08">
        <w:rPr>
          <w:rFonts w:ascii="Times New Roman" w:hAnsi="Times New Roman" w:cs="Times New Roman"/>
          <w:i/>
        </w:rPr>
        <w:t>Report</w:t>
      </w:r>
      <w:r w:rsidRPr="00485A08">
        <w:rPr>
          <w:rFonts w:ascii="Times New Roman" w:hAnsi="Times New Roman" w:cs="Times New Roman"/>
        </w:rPr>
        <w:t xml:space="preserve"> </w:t>
      </w:r>
      <w:r w:rsidRPr="00485A08">
        <w:rPr>
          <w:rFonts w:ascii="Times New Roman" w:hAnsi="Times New Roman" w:cs="Times New Roman"/>
          <w:i/>
        </w:rPr>
        <w:t>of</w:t>
      </w:r>
      <w:r w:rsidRPr="00485A08">
        <w:rPr>
          <w:rFonts w:ascii="Times New Roman" w:hAnsi="Times New Roman" w:cs="Times New Roman"/>
        </w:rPr>
        <w:t xml:space="preserve"> </w:t>
      </w:r>
      <w:r w:rsidRPr="00485A08">
        <w:rPr>
          <w:rFonts w:ascii="Times New Roman" w:hAnsi="Times New Roman" w:cs="Times New Roman"/>
          <w:i/>
        </w:rPr>
        <w:t>the</w:t>
      </w:r>
      <w:r w:rsidRPr="00485A08">
        <w:rPr>
          <w:rFonts w:ascii="Times New Roman" w:hAnsi="Times New Roman" w:cs="Times New Roman"/>
        </w:rPr>
        <w:t xml:space="preserve"> </w:t>
      </w:r>
      <w:r w:rsidRPr="00485A08">
        <w:rPr>
          <w:rFonts w:ascii="Times New Roman" w:hAnsi="Times New Roman" w:cs="Times New Roman"/>
          <w:i/>
        </w:rPr>
        <w:t>Director-General:</w:t>
      </w:r>
      <w:r w:rsidRPr="00485A08">
        <w:rPr>
          <w:rFonts w:ascii="Times New Roman" w:hAnsi="Times New Roman" w:cs="Times New Roman"/>
        </w:rPr>
        <w:t xml:space="preserve"> </w:t>
      </w:r>
      <w:r w:rsidRPr="00485A08">
        <w:rPr>
          <w:rFonts w:ascii="Times New Roman" w:hAnsi="Times New Roman" w:cs="Times New Roman"/>
          <w:i/>
        </w:rPr>
        <w:t>Decent</w:t>
      </w:r>
      <w:r w:rsidRPr="00485A08">
        <w:rPr>
          <w:rFonts w:ascii="Times New Roman" w:hAnsi="Times New Roman" w:cs="Times New Roman"/>
        </w:rPr>
        <w:t xml:space="preserve"> </w:t>
      </w:r>
      <w:r w:rsidRPr="00485A08">
        <w:rPr>
          <w:rFonts w:ascii="Times New Roman" w:hAnsi="Times New Roman" w:cs="Times New Roman"/>
          <w:i/>
        </w:rPr>
        <w:t>Work</w:t>
      </w:r>
      <w:r w:rsidR="0028721D">
        <w:rPr>
          <w:rFonts w:ascii="Times New Roman" w:hAnsi="Times New Roman" w:cs="Times New Roman"/>
          <w:iCs/>
        </w:rPr>
        <w:t>, International Labour Office, Geneva</w:t>
      </w:r>
      <w:r w:rsidR="00E221CE">
        <w:rPr>
          <w:rFonts w:ascii="Times New Roman" w:hAnsi="Times New Roman" w:cs="Times New Roman"/>
          <w:iCs/>
        </w:rPr>
        <w:t>, June</w:t>
      </w:r>
      <w:r w:rsidR="00767B66" w:rsidRPr="00485A08">
        <w:rPr>
          <w:rFonts w:ascii="Times New Roman" w:hAnsi="Times New Roman" w:cs="Times New Roman"/>
        </w:rPr>
        <w:t xml:space="preserve"> 1999</w:t>
      </w:r>
      <w:r w:rsidR="005D2703" w:rsidRPr="00485A08">
        <w:rPr>
          <w:rFonts w:ascii="Times New Roman" w:hAnsi="Times New Roman" w:cs="Times New Roman"/>
        </w:rPr>
        <w:t>.</w:t>
      </w:r>
    </w:p>
  </w:footnote>
  <w:footnote w:id="5">
    <w:p w14:paraId="320269DF" w14:textId="595E4E3B"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B Gaze and B Smith, </w:t>
      </w:r>
      <w:r w:rsidRPr="00485A08">
        <w:rPr>
          <w:rFonts w:ascii="Times New Roman" w:hAnsi="Times New Roman" w:cs="Times New Roman"/>
          <w:i/>
        </w:rPr>
        <w:t>Equality and Discrimination Law in Australia: An Introduction</w:t>
      </w:r>
      <w:r w:rsidRPr="00485A08">
        <w:rPr>
          <w:rFonts w:ascii="Times New Roman" w:hAnsi="Times New Roman" w:cs="Times New Roman"/>
        </w:rPr>
        <w:t xml:space="preserve">, Cambridge University Press, Cambridge, 2017, </w:t>
      </w:r>
      <w:r w:rsidR="00AE6ADD" w:rsidRPr="00485A08">
        <w:rPr>
          <w:rFonts w:ascii="Times New Roman" w:hAnsi="Times New Roman" w:cs="Times New Roman"/>
        </w:rPr>
        <w:t>chap 1;</w:t>
      </w:r>
      <w:r w:rsidRPr="00485A08">
        <w:rPr>
          <w:rFonts w:ascii="Times New Roman" w:hAnsi="Times New Roman" w:cs="Times New Roman"/>
        </w:rPr>
        <w:t xml:space="preserve"> M Thornton, </w:t>
      </w:r>
      <w:r w:rsidRPr="00485A08">
        <w:rPr>
          <w:rFonts w:ascii="Times New Roman" w:hAnsi="Times New Roman" w:cs="Times New Roman"/>
          <w:i/>
        </w:rPr>
        <w:t>The Liberal Promise: Anti-Discrimination Legislation in Australia</w:t>
      </w:r>
      <w:r w:rsidRPr="00485A08">
        <w:rPr>
          <w:rFonts w:ascii="Times New Roman" w:hAnsi="Times New Roman" w:cs="Times New Roman"/>
        </w:rPr>
        <w:t>, Oxford University Press, Melbourne, 1990, chap 1.</w:t>
      </w:r>
    </w:p>
  </w:footnote>
  <w:footnote w:id="6">
    <w:p w14:paraId="320269E0" w14:textId="36A5112C" w:rsidR="00526B9C" w:rsidRPr="00485A08" w:rsidRDefault="00543F23" w:rsidP="00485A08">
      <w:pPr>
        <w:autoSpaceDE w:val="0"/>
        <w:autoSpaceDN w:val="0"/>
        <w:adjustRightInd w:val="0"/>
        <w:spacing w:after="0" w:line="240" w:lineRule="auto"/>
        <w:jc w:val="both"/>
        <w:rPr>
          <w:rFonts w:ascii="Times New Roman" w:hAnsi="Times New Roman" w:cs="Times New Roman"/>
          <w:sz w:val="20"/>
          <w:szCs w:val="20"/>
          <w:lang w:eastAsia="ko-KR"/>
        </w:rPr>
      </w:pPr>
      <w:r w:rsidRPr="00485A08">
        <w:rPr>
          <w:rStyle w:val="FootnoteReference"/>
          <w:rFonts w:ascii="Times New Roman" w:hAnsi="Times New Roman" w:cs="Times New Roman"/>
          <w:sz w:val="20"/>
          <w:szCs w:val="20"/>
        </w:rPr>
        <w:footnoteRef/>
      </w:r>
      <w:r w:rsidRPr="00485A08">
        <w:rPr>
          <w:rFonts w:ascii="Times New Roman" w:hAnsi="Times New Roman" w:cs="Times New Roman"/>
          <w:sz w:val="20"/>
          <w:szCs w:val="20"/>
        </w:rPr>
        <w:t xml:space="preserve"> On the concept of </w:t>
      </w:r>
      <w:r w:rsidR="00F02D47" w:rsidRPr="00485A08">
        <w:rPr>
          <w:rFonts w:ascii="Times New Roman" w:hAnsi="Times New Roman" w:cs="Times New Roman"/>
          <w:sz w:val="20"/>
          <w:szCs w:val="20"/>
        </w:rPr>
        <w:t xml:space="preserve">a </w:t>
      </w:r>
      <w:r w:rsidRPr="00485A08">
        <w:rPr>
          <w:rFonts w:ascii="Times New Roman" w:hAnsi="Times New Roman" w:cs="Times New Roman"/>
          <w:sz w:val="20"/>
          <w:szCs w:val="20"/>
        </w:rPr>
        <w:t>normative (or ideal) worker and work arrangements, see</w:t>
      </w:r>
      <w:r w:rsidR="00D86868" w:rsidRPr="00485A08">
        <w:rPr>
          <w:rFonts w:ascii="Times New Roman" w:hAnsi="Times New Roman" w:cs="Times New Roman"/>
          <w:sz w:val="20"/>
          <w:szCs w:val="20"/>
        </w:rPr>
        <w:t>,</w:t>
      </w:r>
      <w:r w:rsidRPr="00485A08">
        <w:rPr>
          <w:rFonts w:ascii="Times New Roman" w:hAnsi="Times New Roman" w:cs="Times New Roman"/>
          <w:sz w:val="20"/>
          <w:szCs w:val="20"/>
        </w:rPr>
        <w:t xml:space="preserve"> eg, S </w:t>
      </w:r>
      <w:proofErr w:type="spellStart"/>
      <w:r w:rsidRPr="00485A08">
        <w:rPr>
          <w:rFonts w:ascii="Times New Roman" w:hAnsi="Times New Roman" w:cs="Times New Roman"/>
          <w:sz w:val="20"/>
          <w:szCs w:val="20"/>
        </w:rPr>
        <w:t>Berns</w:t>
      </w:r>
      <w:proofErr w:type="spellEnd"/>
      <w:r w:rsidRPr="00485A08">
        <w:rPr>
          <w:rFonts w:ascii="Times New Roman" w:hAnsi="Times New Roman" w:cs="Times New Roman"/>
          <w:sz w:val="20"/>
          <w:szCs w:val="20"/>
        </w:rPr>
        <w:t xml:space="preserve">, </w:t>
      </w:r>
      <w:r w:rsidRPr="00485A08">
        <w:rPr>
          <w:rFonts w:ascii="Times New Roman" w:hAnsi="Times New Roman" w:cs="Times New Roman"/>
          <w:i/>
          <w:sz w:val="20"/>
          <w:szCs w:val="20"/>
        </w:rPr>
        <w:t>Women Going Backwards: Law and Change in a Family Unfriendly Society</w:t>
      </w:r>
      <w:r w:rsidRPr="00485A08">
        <w:rPr>
          <w:rFonts w:ascii="Times New Roman" w:hAnsi="Times New Roman" w:cs="Times New Roman"/>
          <w:sz w:val="20"/>
          <w:szCs w:val="20"/>
        </w:rPr>
        <w:t>, Ashgate, Aldershot, 2002</w:t>
      </w:r>
      <w:r w:rsidR="00DD1F5F">
        <w:rPr>
          <w:rFonts w:ascii="Times New Roman" w:hAnsi="Times New Roman" w:cs="Times New Roman"/>
          <w:sz w:val="20"/>
          <w:szCs w:val="20"/>
        </w:rPr>
        <w:t>,</w:t>
      </w:r>
      <w:r w:rsidRPr="00485A08">
        <w:rPr>
          <w:rFonts w:ascii="Times New Roman" w:hAnsi="Times New Roman" w:cs="Times New Roman"/>
          <w:sz w:val="20"/>
          <w:szCs w:val="20"/>
        </w:rPr>
        <w:t xml:space="preserve"> chap</w:t>
      </w:r>
      <w:r w:rsidR="000343BE" w:rsidRPr="00485A08">
        <w:rPr>
          <w:rFonts w:ascii="Times New Roman" w:hAnsi="Times New Roman" w:cs="Times New Roman"/>
          <w:sz w:val="20"/>
          <w:szCs w:val="20"/>
        </w:rPr>
        <w:t xml:space="preserve"> </w:t>
      </w:r>
      <w:r w:rsidRPr="00485A08">
        <w:rPr>
          <w:rFonts w:ascii="Times New Roman" w:hAnsi="Times New Roman" w:cs="Times New Roman"/>
          <w:sz w:val="20"/>
          <w:szCs w:val="20"/>
        </w:rPr>
        <w:t xml:space="preserve">1. </w:t>
      </w:r>
    </w:p>
  </w:footnote>
  <w:footnote w:id="7">
    <w:p w14:paraId="320269E1" w14:textId="20D80101"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ILO</w:t>
      </w:r>
      <w:r w:rsidR="00767B66" w:rsidRPr="00485A08">
        <w:rPr>
          <w:rFonts w:ascii="Times New Roman" w:hAnsi="Times New Roman" w:cs="Times New Roman"/>
        </w:rPr>
        <w:t xml:space="preserve">, </w:t>
      </w:r>
      <w:r w:rsidRPr="00485A08">
        <w:rPr>
          <w:rFonts w:ascii="Times New Roman" w:hAnsi="Times New Roman" w:cs="Times New Roman"/>
        </w:rPr>
        <w:t xml:space="preserve">above n 4. On the meaning of equality, see generally Gaze and Smith, above n 5, </w:t>
      </w:r>
      <w:r w:rsidR="00AE1BF8" w:rsidRPr="00485A08">
        <w:rPr>
          <w:rFonts w:ascii="Times New Roman" w:hAnsi="Times New Roman" w:cs="Times New Roman"/>
        </w:rPr>
        <w:t>at p</w:t>
      </w:r>
      <w:r w:rsidR="00F24A51" w:rsidRPr="00485A08">
        <w:rPr>
          <w:rFonts w:ascii="Times New Roman" w:hAnsi="Times New Roman" w:cs="Times New Roman"/>
        </w:rPr>
        <w:t>p</w:t>
      </w:r>
      <w:r w:rsidR="00AE1BF8" w:rsidRPr="00485A08">
        <w:rPr>
          <w:rFonts w:ascii="Times New Roman" w:hAnsi="Times New Roman" w:cs="Times New Roman"/>
        </w:rPr>
        <w:t xml:space="preserve"> </w:t>
      </w:r>
      <w:r w:rsidR="00654EA6" w:rsidRPr="00485A08">
        <w:rPr>
          <w:rFonts w:ascii="Times New Roman" w:hAnsi="Times New Roman" w:cs="Times New Roman"/>
        </w:rPr>
        <w:t>10</w:t>
      </w:r>
      <w:r w:rsidR="00AE1BF8" w:rsidRPr="00485A08">
        <w:rPr>
          <w:rFonts w:ascii="Times New Roman" w:hAnsi="Times New Roman" w:cs="Times New Roman"/>
        </w:rPr>
        <w:t>–28</w:t>
      </w:r>
      <w:r w:rsidRPr="00485A08">
        <w:rPr>
          <w:rFonts w:ascii="Times New Roman" w:hAnsi="Times New Roman" w:cs="Times New Roman"/>
        </w:rPr>
        <w:t xml:space="preserve">; B Smith, ‘What Kind of Equality Can We Expect from the Fair Work Act?’ </w:t>
      </w:r>
      <w:r w:rsidR="00AE6ADD" w:rsidRPr="00485A08">
        <w:rPr>
          <w:rFonts w:ascii="Times New Roman" w:hAnsi="Times New Roman" w:cs="Times New Roman"/>
        </w:rPr>
        <w:t>(</w:t>
      </w:r>
      <w:r w:rsidRPr="00485A08">
        <w:rPr>
          <w:rFonts w:ascii="Times New Roman" w:hAnsi="Times New Roman" w:cs="Times New Roman"/>
        </w:rPr>
        <w:t>2011</w:t>
      </w:r>
      <w:r w:rsidR="00AE6ADD" w:rsidRPr="00485A08">
        <w:rPr>
          <w:rFonts w:ascii="Times New Roman" w:hAnsi="Times New Roman" w:cs="Times New Roman"/>
        </w:rPr>
        <w:t>)</w:t>
      </w:r>
      <w:r w:rsidRPr="00485A08">
        <w:rPr>
          <w:rFonts w:ascii="Times New Roman" w:hAnsi="Times New Roman" w:cs="Times New Roman"/>
        </w:rPr>
        <w:t xml:space="preserve"> 35 </w:t>
      </w:r>
      <w:r w:rsidRPr="00485A08">
        <w:rPr>
          <w:rFonts w:ascii="Times New Roman" w:hAnsi="Times New Roman" w:cs="Times New Roman"/>
          <w:i/>
        </w:rPr>
        <w:t>MULR</w:t>
      </w:r>
      <w:r w:rsidRPr="00485A08">
        <w:rPr>
          <w:rFonts w:ascii="Times New Roman" w:hAnsi="Times New Roman" w:cs="Times New Roman"/>
        </w:rPr>
        <w:t xml:space="preserve"> 545; Thornton, above n 5, chap 1</w:t>
      </w:r>
      <w:r w:rsidR="005B712A" w:rsidRPr="00485A08">
        <w:rPr>
          <w:rFonts w:ascii="Times New Roman" w:hAnsi="Times New Roman" w:cs="Times New Roman"/>
        </w:rPr>
        <w:t>.</w:t>
      </w:r>
    </w:p>
  </w:footnote>
  <w:footnote w:id="8">
    <w:p w14:paraId="320269E2" w14:textId="7590881E" w:rsidR="00526B9C" w:rsidRPr="00485A08" w:rsidRDefault="00543F23" w:rsidP="00485A08">
      <w:pPr>
        <w:spacing w:after="0"/>
        <w:jc w:val="both"/>
        <w:rPr>
          <w:rFonts w:ascii="Times New Roman" w:hAnsi="Times New Roman" w:cs="Times New Roman"/>
          <w:sz w:val="20"/>
          <w:szCs w:val="20"/>
        </w:rPr>
      </w:pPr>
      <w:r w:rsidRPr="00485A08">
        <w:rPr>
          <w:rStyle w:val="FootnoteReference"/>
          <w:rFonts w:ascii="Times New Roman" w:hAnsi="Times New Roman" w:cs="Times New Roman"/>
          <w:sz w:val="20"/>
          <w:szCs w:val="20"/>
        </w:rPr>
        <w:footnoteRef/>
      </w:r>
      <w:r w:rsidRPr="00485A08">
        <w:rPr>
          <w:rFonts w:ascii="Times New Roman" w:hAnsi="Times New Roman" w:cs="Times New Roman"/>
          <w:sz w:val="20"/>
          <w:szCs w:val="20"/>
        </w:rPr>
        <w:t xml:space="preserve"> This scholarship includes </w:t>
      </w:r>
      <w:r w:rsidRPr="00485A08">
        <w:rPr>
          <w:rFonts w:ascii="Times New Roman" w:eastAsia="Times New Roman" w:hAnsi="Times New Roman" w:cs="Times New Roman"/>
          <w:bCs/>
          <w:sz w:val="20"/>
          <w:szCs w:val="20"/>
          <w:lang w:val="en" w:eastAsia="en-AU"/>
        </w:rPr>
        <w:t xml:space="preserve">D Allen, ‘Adverse Effects: Can the </w:t>
      </w:r>
      <w:r w:rsidRPr="00BC2B25">
        <w:rPr>
          <w:rFonts w:ascii="Times New Roman" w:eastAsia="Times New Roman" w:hAnsi="Times New Roman" w:cs="Times New Roman"/>
          <w:bCs/>
          <w:i/>
          <w:iCs/>
          <w:sz w:val="20"/>
          <w:szCs w:val="20"/>
          <w:lang w:val="en" w:eastAsia="en-AU"/>
        </w:rPr>
        <w:t>Fair Work Act</w:t>
      </w:r>
      <w:r w:rsidRPr="00485A08">
        <w:rPr>
          <w:rFonts w:ascii="Times New Roman" w:eastAsia="Times New Roman" w:hAnsi="Times New Roman" w:cs="Times New Roman"/>
          <w:bCs/>
          <w:sz w:val="20"/>
          <w:szCs w:val="20"/>
          <w:lang w:val="en" w:eastAsia="en-AU"/>
        </w:rPr>
        <w:t xml:space="preserve"> Address Workplace Discrimination for Employees with a Disability?’ (2018) 41 </w:t>
      </w:r>
      <w:r w:rsidR="00082CC0" w:rsidRPr="00485A08">
        <w:rPr>
          <w:rFonts w:ascii="Times New Roman" w:eastAsia="Times New Roman" w:hAnsi="Times New Roman" w:cs="Times New Roman"/>
          <w:bCs/>
          <w:i/>
          <w:sz w:val="20"/>
          <w:szCs w:val="20"/>
          <w:lang w:val="en" w:eastAsia="en-AU"/>
        </w:rPr>
        <w:t>UNSW</w:t>
      </w:r>
      <w:r w:rsidR="005A740B" w:rsidRPr="00485A08">
        <w:rPr>
          <w:rFonts w:ascii="Times New Roman" w:eastAsia="Times New Roman" w:hAnsi="Times New Roman" w:cs="Times New Roman"/>
          <w:bCs/>
          <w:i/>
          <w:sz w:val="20"/>
          <w:szCs w:val="20"/>
          <w:lang w:val="en" w:eastAsia="en-AU"/>
        </w:rPr>
        <w:t xml:space="preserve">LJ </w:t>
      </w:r>
      <w:r w:rsidRPr="00485A08">
        <w:rPr>
          <w:rFonts w:ascii="Times New Roman" w:eastAsia="Times New Roman" w:hAnsi="Times New Roman" w:cs="Times New Roman"/>
          <w:bCs/>
          <w:sz w:val="20"/>
          <w:szCs w:val="20"/>
          <w:lang w:val="en" w:eastAsia="en-AU"/>
        </w:rPr>
        <w:t xml:space="preserve">846; </w:t>
      </w:r>
      <w:r w:rsidRPr="00485A08">
        <w:rPr>
          <w:rFonts w:ascii="Times New Roman" w:hAnsi="Times New Roman" w:cs="Times New Roman"/>
          <w:sz w:val="20"/>
          <w:szCs w:val="20"/>
        </w:rPr>
        <w:t xml:space="preserve">A Chapman, B Gaze and A Orifici, ‘Substantive Equality at Work: Still Elusive under Australia’s Fair Work Act’ (2017) 30 </w:t>
      </w:r>
      <w:r w:rsidRPr="00485A08">
        <w:rPr>
          <w:rFonts w:ascii="Times New Roman" w:hAnsi="Times New Roman" w:cs="Times New Roman"/>
          <w:i/>
          <w:sz w:val="20"/>
          <w:szCs w:val="20"/>
        </w:rPr>
        <w:t>AJLL</w:t>
      </w:r>
      <w:r w:rsidRPr="00485A08">
        <w:rPr>
          <w:rFonts w:ascii="Times New Roman" w:hAnsi="Times New Roman" w:cs="Times New Roman"/>
          <w:sz w:val="20"/>
          <w:szCs w:val="20"/>
        </w:rPr>
        <w:t xml:space="preserve"> 214; </w:t>
      </w:r>
      <w:r w:rsidRPr="00485A08">
        <w:rPr>
          <w:rFonts w:ascii="Times New Roman" w:eastAsia="Times New Roman" w:hAnsi="Times New Roman" w:cs="Times New Roman"/>
          <w:bCs/>
          <w:sz w:val="20"/>
          <w:szCs w:val="20"/>
          <w:lang w:val="en" w:eastAsia="en-AU"/>
        </w:rPr>
        <w:t>L Meagher, ‘Australian Courts</w:t>
      </w:r>
      <w:r w:rsidR="00525C14" w:rsidRPr="00485A08">
        <w:rPr>
          <w:rFonts w:ascii="Times New Roman" w:eastAsia="Times New Roman" w:hAnsi="Times New Roman" w:cs="Times New Roman"/>
          <w:bCs/>
          <w:sz w:val="20"/>
          <w:szCs w:val="20"/>
          <w:lang w:val="en" w:eastAsia="en-AU"/>
        </w:rPr>
        <w:t>’</w:t>
      </w:r>
      <w:r w:rsidRPr="00485A08">
        <w:rPr>
          <w:rFonts w:ascii="Times New Roman" w:eastAsia="Times New Roman" w:hAnsi="Times New Roman" w:cs="Times New Roman"/>
          <w:bCs/>
          <w:sz w:val="20"/>
          <w:szCs w:val="20"/>
          <w:lang w:val="en" w:eastAsia="en-AU"/>
        </w:rPr>
        <w:t xml:space="preserve"> Approaches to Unconscious Direct Discrimination and Adverse Action’ (2017) 30 </w:t>
      </w:r>
      <w:r w:rsidRPr="00485A08">
        <w:rPr>
          <w:rFonts w:ascii="Times New Roman" w:eastAsia="Times New Roman" w:hAnsi="Times New Roman" w:cs="Times New Roman"/>
          <w:bCs/>
          <w:i/>
          <w:sz w:val="20"/>
          <w:szCs w:val="20"/>
          <w:lang w:val="en" w:eastAsia="en-AU"/>
        </w:rPr>
        <w:t>AJLL</w:t>
      </w:r>
      <w:r w:rsidRPr="00485A08">
        <w:rPr>
          <w:rFonts w:ascii="Times New Roman" w:eastAsia="Times New Roman" w:hAnsi="Times New Roman" w:cs="Times New Roman"/>
          <w:bCs/>
          <w:sz w:val="20"/>
          <w:szCs w:val="20"/>
          <w:lang w:val="en" w:eastAsia="en-AU"/>
        </w:rPr>
        <w:t xml:space="preserve"> 1; A</w:t>
      </w:r>
      <w:r w:rsidRPr="00485A08">
        <w:rPr>
          <w:rFonts w:ascii="Times New Roman" w:hAnsi="Times New Roman" w:cs="Times New Roman"/>
          <w:sz w:val="20"/>
          <w:szCs w:val="20"/>
        </w:rPr>
        <w:t xml:space="preserve"> Chapman, ‘Judicial Method and the Interpretation of Industrial Discrimination’ (2015) 28 </w:t>
      </w:r>
      <w:r w:rsidRPr="00485A08">
        <w:rPr>
          <w:rFonts w:ascii="Times New Roman" w:hAnsi="Times New Roman" w:cs="Times New Roman"/>
          <w:i/>
          <w:sz w:val="20"/>
          <w:szCs w:val="20"/>
        </w:rPr>
        <w:t>AJLL</w:t>
      </w:r>
      <w:r w:rsidRPr="00485A08">
        <w:rPr>
          <w:rFonts w:ascii="Times New Roman" w:hAnsi="Times New Roman" w:cs="Times New Roman"/>
          <w:sz w:val="20"/>
          <w:szCs w:val="20"/>
        </w:rPr>
        <w:t xml:space="preserve"> 1</w:t>
      </w:r>
      <w:r w:rsidR="009749E6" w:rsidRPr="00485A08">
        <w:rPr>
          <w:rFonts w:ascii="Times New Roman" w:hAnsi="Times New Roman" w:cs="Times New Roman"/>
          <w:sz w:val="20"/>
          <w:szCs w:val="20"/>
        </w:rPr>
        <w:t>.</w:t>
      </w:r>
      <w:r w:rsidRPr="00485A08">
        <w:rPr>
          <w:rFonts w:ascii="Times New Roman" w:hAnsi="Times New Roman" w:cs="Times New Roman"/>
          <w:sz w:val="20"/>
          <w:szCs w:val="20"/>
        </w:rPr>
        <w:t xml:space="preserve"> For early scholarship, see S Rice and C Roles, ‘“It’s a Discrimination Law Julia, But Not As We Know It”: </w:t>
      </w:r>
      <w:r w:rsidR="009749E6" w:rsidRPr="00485A08">
        <w:rPr>
          <w:rFonts w:ascii="Times New Roman" w:hAnsi="Times New Roman" w:cs="Times New Roman"/>
          <w:sz w:val="20"/>
          <w:szCs w:val="20"/>
        </w:rPr>
        <w:t>Part 3</w:t>
      </w:r>
      <w:r w:rsidRPr="00485A08">
        <w:rPr>
          <w:rFonts w:ascii="Times New Roman" w:hAnsi="Times New Roman" w:cs="Times New Roman"/>
          <w:sz w:val="20"/>
          <w:szCs w:val="20"/>
        </w:rPr>
        <w:t>-</w:t>
      </w:r>
      <w:hyperlink r:id="rId1" w:anchor="p1" w:history="1">
        <w:r w:rsidRPr="00485A08">
          <w:rPr>
            <w:rFonts w:ascii="Times New Roman" w:hAnsi="Times New Roman" w:cs="Times New Roman"/>
            <w:sz w:val="20"/>
            <w:szCs w:val="20"/>
          </w:rPr>
          <w:t>1</w:t>
        </w:r>
      </w:hyperlink>
      <w:r w:rsidRPr="00485A08">
        <w:rPr>
          <w:rFonts w:ascii="Times New Roman" w:hAnsi="Times New Roman" w:cs="Times New Roman"/>
          <w:sz w:val="20"/>
          <w:szCs w:val="20"/>
        </w:rPr>
        <w:t xml:space="preserve"> of the </w:t>
      </w:r>
      <w:r w:rsidR="009749E6" w:rsidRPr="00485A08">
        <w:rPr>
          <w:rFonts w:ascii="Times New Roman" w:hAnsi="Times New Roman" w:cs="Times New Roman"/>
          <w:i/>
          <w:iCs/>
          <w:sz w:val="20"/>
          <w:szCs w:val="20"/>
        </w:rPr>
        <w:t>Fair Work Act</w:t>
      </w:r>
      <w:r w:rsidRPr="00485A08">
        <w:rPr>
          <w:rFonts w:ascii="Times New Roman" w:hAnsi="Times New Roman" w:cs="Times New Roman"/>
          <w:sz w:val="20"/>
          <w:szCs w:val="20"/>
        </w:rPr>
        <w:t xml:space="preserve">’ </w:t>
      </w:r>
      <w:r w:rsidR="009749E6" w:rsidRPr="00485A08">
        <w:rPr>
          <w:rFonts w:ascii="Times New Roman" w:hAnsi="Times New Roman" w:cs="Times New Roman"/>
          <w:sz w:val="20"/>
          <w:szCs w:val="20"/>
        </w:rPr>
        <w:t xml:space="preserve">(2010) 21 </w:t>
      </w:r>
      <w:r w:rsidR="009749E6" w:rsidRPr="00485A08">
        <w:rPr>
          <w:rFonts w:ascii="Times New Roman" w:hAnsi="Times New Roman" w:cs="Times New Roman"/>
          <w:i/>
          <w:iCs/>
          <w:sz w:val="20"/>
          <w:szCs w:val="20"/>
        </w:rPr>
        <w:t>EL</w:t>
      </w:r>
      <w:r w:rsidR="006F1D38" w:rsidRPr="00485A08">
        <w:rPr>
          <w:rFonts w:ascii="Times New Roman" w:hAnsi="Times New Roman" w:cs="Times New Roman"/>
          <w:i/>
          <w:iCs/>
          <w:sz w:val="20"/>
          <w:szCs w:val="20"/>
        </w:rPr>
        <w:t>R</w:t>
      </w:r>
      <w:r w:rsidR="009749E6" w:rsidRPr="00485A08">
        <w:rPr>
          <w:rFonts w:ascii="Times New Roman" w:hAnsi="Times New Roman" w:cs="Times New Roman"/>
          <w:i/>
          <w:iCs/>
          <w:sz w:val="20"/>
          <w:szCs w:val="20"/>
        </w:rPr>
        <w:t xml:space="preserve">R </w:t>
      </w:r>
      <w:r w:rsidR="009749E6" w:rsidRPr="00485A08">
        <w:rPr>
          <w:rFonts w:ascii="Times New Roman" w:hAnsi="Times New Roman" w:cs="Times New Roman"/>
          <w:sz w:val="20"/>
          <w:szCs w:val="20"/>
        </w:rPr>
        <w:t>13</w:t>
      </w:r>
      <w:r w:rsidRPr="00485A08">
        <w:rPr>
          <w:rFonts w:ascii="Times New Roman" w:hAnsi="Times New Roman" w:cs="Times New Roman"/>
          <w:sz w:val="20"/>
          <w:szCs w:val="20"/>
        </w:rPr>
        <w:t xml:space="preserve">; B Smith, ‘Fair </w:t>
      </w:r>
      <w:r w:rsidRPr="00485A08">
        <w:rPr>
          <w:rFonts w:ascii="Times New Roman" w:hAnsi="Times New Roman" w:cs="Times New Roman"/>
          <w:i/>
          <w:sz w:val="20"/>
          <w:szCs w:val="20"/>
        </w:rPr>
        <w:t>and</w:t>
      </w:r>
      <w:r w:rsidRPr="00485A08">
        <w:rPr>
          <w:rFonts w:ascii="Times New Roman" w:hAnsi="Times New Roman" w:cs="Times New Roman"/>
          <w:sz w:val="20"/>
          <w:szCs w:val="20"/>
        </w:rPr>
        <w:t xml:space="preserve"> Equal in the World of Work: Two Signi</w:t>
      </w:r>
      <w:r w:rsidRPr="00485A08">
        <w:rPr>
          <w:rFonts w:ascii="Times New Roman" w:hAnsi="Times New Roman" w:cs="Times New Roman"/>
          <w:spacing w:val="4"/>
          <w:sz w:val="20"/>
          <w:szCs w:val="20"/>
        </w:rPr>
        <w:t>f</w:t>
      </w:r>
      <w:r w:rsidRPr="00485A08">
        <w:rPr>
          <w:rFonts w:ascii="Times New Roman" w:hAnsi="Times New Roman" w:cs="Times New Roman"/>
          <w:sz w:val="20"/>
          <w:szCs w:val="20"/>
        </w:rPr>
        <w:t xml:space="preserve">icant Federal Developments in Australian Discrimination Law’ (2010) 23 </w:t>
      </w:r>
      <w:r w:rsidRPr="00485A08">
        <w:rPr>
          <w:rFonts w:ascii="Times New Roman" w:hAnsi="Times New Roman" w:cs="Times New Roman"/>
          <w:i/>
          <w:sz w:val="20"/>
          <w:szCs w:val="20"/>
        </w:rPr>
        <w:t>AJLL</w:t>
      </w:r>
      <w:r w:rsidRPr="00485A08">
        <w:rPr>
          <w:rFonts w:ascii="Times New Roman" w:hAnsi="Times New Roman" w:cs="Times New Roman"/>
          <w:sz w:val="20"/>
          <w:szCs w:val="20"/>
        </w:rPr>
        <w:t xml:space="preserve"> 199.</w:t>
      </w:r>
    </w:p>
  </w:footnote>
  <w:footnote w:id="9">
    <w:p w14:paraId="320269E3" w14:textId="64906398"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FW</w:t>
      </w:r>
      <w:r w:rsidR="00527D86" w:rsidRPr="00485A08">
        <w:rPr>
          <w:rFonts w:ascii="Times New Roman" w:hAnsi="Times New Roman" w:cs="Times New Roman"/>
        </w:rPr>
        <w:t xml:space="preserve"> </w:t>
      </w:r>
      <w:r w:rsidRPr="00485A08">
        <w:rPr>
          <w:rFonts w:ascii="Times New Roman" w:hAnsi="Times New Roman" w:cs="Times New Roman"/>
        </w:rPr>
        <w:t>A</w:t>
      </w:r>
      <w:r w:rsidR="00527D86" w:rsidRPr="00485A08">
        <w:rPr>
          <w:rFonts w:ascii="Times New Roman" w:hAnsi="Times New Roman" w:cs="Times New Roman"/>
        </w:rPr>
        <w:t>ct</w:t>
      </w:r>
      <w:r w:rsidRPr="00485A08">
        <w:rPr>
          <w:rFonts w:ascii="Times New Roman" w:hAnsi="Times New Roman" w:cs="Times New Roman"/>
        </w:rPr>
        <w:t xml:space="preserve"> s 340; A Heron and S Charlesworth, ‘Effective Protection of Pregnant Women at Work: Still Waiting for Delivery?’ (2016) 29 </w:t>
      </w:r>
      <w:r w:rsidRPr="00485A08">
        <w:rPr>
          <w:rFonts w:ascii="Times New Roman" w:hAnsi="Times New Roman" w:cs="Times New Roman"/>
          <w:i/>
        </w:rPr>
        <w:t>AJLL</w:t>
      </w:r>
      <w:r w:rsidRPr="00485A08">
        <w:rPr>
          <w:rFonts w:ascii="Times New Roman" w:hAnsi="Times New Roman" w:cs="Times New Roman"/>
        </w:rPr>
        <w:t xml:space="preserve"> 1.</w:t>
      </w:r>
    </w:p>
  </w:footnote>
  <w:footnote w:id="10">
    <w:p w14:paraId="320269E4" w14:textId="02B8B2C0"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See</w:t>
      </w:r>
      <w:r w:rsidR="00525C14" w:rsidRPr="00485A08">
        <w:rPr>
          <w:rFonts w:ascii="Times New Roman" w:hAnsi="Times New Roman" w:cs="Times New Roman"/>
        </w:rPr>
        <w:t xml:space="preserve"> especially </w:t>
      </w:r>
      <w:r w:rsidRPr="00485A08">
        <w:rPr>
          <w:rFonts w:ascii="Times New Roman" w:hAnsi="Times New Roman" w:cs="Times New Roman"/>
        </w:rPr>
        <w:t xml:space="preserve">Chapman, above n 8, </w:t>
      </w:r>
      <w:r w:rsidR="007370E9">
        <w:rPr>
          <w:rFonts w:ascii="Times New Roman" w:hAnsi="Times New Roman" w:cs="Times New Roman"/>
        </w:rPr>
        <w:t xml:space="preserve">at </w:t>
      </w:r>
      <w:r w:rsidRPr="00485A08">
        <w:rPr>
          <w:rFonts w:ascii="Times New Roman" w:hAnsi="Times New Roman" w:cs="Times New Roman"/>
        </w:rPr>
        <w:t>26</w:t>
      </w:r>
      <w:r w:rsidR="009749E6" w:rsidRPr="00485A08">
        <w:rPr>
          <w:rFonts w:ascii="Times New Roman" w:hAnsi="Times New Roman" w:cs="Times New Roman"/>
        </w:rPr>
        <w:t>–</w:t>
      </w:r>
      <w:r w:rsidRPr="00485A08">
        <w:rPr>
          <w:rFonts w:ascii="Times New Roman" w:hAnsi="Times New Roman" w:cs="Times New Roman"/>
        </w:rPr>
        <w:t xml:space="preserve">31; Chapman, Gaze and Orifici, above n 8; A </w:t>
      </w:r>
      <w:r w:rsidRPr="00485A08">
        <w:rPr>
          <w:rFonts w:ascii="Times New Roman" w:hAnsi="Times New Roman" w:cs="Times New Roman"/>
          <w:lang w:val="en"/>
        </w:rPr>
        <w:t xml:space="preserve">Chapman and B Gaze, ‘The Human Right to Non-Discrimination as a Legitimate Part of Workplace Law: Towards Substantive Equality at Work in Australia?' (2013) 29 </w:t>
      </w:r>
      <w:r w:rsidR="00A97474">
        <w:rPr>
          <w:rStyle w:val="Emphasis"/>
          <w:rFonts w:ascii="Times New Roman" w:hAnsi="Times New Roman" w:cs="Times New Roman"/>
          <w:lang w:val="en"/>
        </w:rPr>
        <w:t>IJCLLIR</w:t>
      </w:r>
      <w:r w:rsidRPr="00485A08">
        <w:rPr>
          <w:rFonts w:ascii="Times New Roman" w:hAnsi="Times New Roman" w:cs="Times New Roman"/>
          <w:lang w:val="en"/>
        </w:rPr>
        <w:t xml:space="preserve"> 355.</w:t>
      </w:r>
    </w:p>
  </w:footnote>
  <w:footnote w:id="11">
    <w:p w14:paraId="320269E5" w14:textId="12627937"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A brief discussion is contained in Allen, above n 8, </w:t>
      </w:r>
      <w:r w:rsidR="007224D2" w:rsidRPr="00485A08">
        <w:rPr>
          <w:rFonts w:ascii="Times New Roman" w:hAnsi="Times New Roman" w:cs="Times New Roman"/>
        </w:rPr>
        <w:t xml:space="preserve">at </w:t>
      </w:r>
      <w:r w:rsidRPr="00485A08">
        <w:rPr>
          <w:rFonts w:ascii="Times New Roman" w:hAnsi="Times New Roman" w:cs="Times New Roman"/>
        </w:rPr>
        <w:t>869</w:t>
      </w:r>
      <w:r w:rsidR="007224D2" w:rsidRPr="00485A08">
        <w:rPr>
          <w:rFonts w:ascii="Times New Roman" w:hAnsi="Times New Roman" w:cs="Times New Roman"/>
        </w:rPr>
        <w:t>–</w:t>
      </w:r>
      <w:r w:rsidRPr="00485A08">
        <w:rPr>
          <w:rFonts w:ascii="Times New Roman" w:hAnsi="Times New Roman" w:cs="Times New Roman"/>
        </w:rPr>
        <w:t xml:space="preserve">70. </w:t>
      </w:r>
    </w:p>
  </w:footnote>
  <w:footnote w:id="12">
    <w:p w14:paraId="320269E6" w14:textId="6D145F0B" w:rsidR="00526B9C" w:rsidRPr="00485A08" w:rsidRDefault="00543F23" w:rsidP="00485A08">
      <w:pPr>
        <w:pStyle w:val="FootnoteText"/>
        <w:jc w:val="both"/>
        <w:rPr>
          <w:rFonts w:ascii="Times New Roman" w:hAnsi="Times New Roman" w:cs="Times New Roman"/>
          <w:color w:val="FF0000"/>
        </w:rPr>
      </w:pPr>
      <w:r w:rsidRPr="00485A08">
        <w:rPr>
          <w:rStyle w:val="FootnoteReference"/>
          <w:rFonts w:ascii="Times New Roman" w:hAnsi="Times New Roman" w:cs="Times New Roman"/>
        </w:rPr>
        <w:footnoteRef/>
      </w:r>
      <w:r w:rsidRPr="00485A08">
        <w:rPr>
          <w:rFonts w:ascii="Times New Roman" w:hAnsi="Times New Roman" w:cs="Times New Roman"/>
        </w:rPr>
        <w:t xml:space="preserve"> Differing views are expressed in submissions to the 2018</w:t>
      </w:r>
      <w:r w:rsidR="00525C14" w:rsidRPr="00485A08">
        <w:rPr>
          <w:rFonts w:ascii="Times New Roman" w:hAnsi="Times New Roman" w:cs="Times New Roman"/>
        </w:rPr>
        <w:t>–</w:t>
      </w:r>
      <w:r w:rsidRPr="00485A08">
        <w:rPr>
          <w:rFonts w:ascii="Times New Roman" w:hAnsi="Times New Roman" w:cs="Times New Roman"/>
        </w:rPr>
        <w:t>19 inquiry into sexual harassment conducted by the Australian Human Rights Commission (AHRC) on whether conduct amounting to sexual harassment can be pursued under Part 3-1. See</w:t>
      </w:r>
      <w:r w:rsidR="002E33BC" w:rsidRPr="00485A08">
        <w:rPr>
          <w:rFonts w:ascii="Times New Roman" w:hAnsi="Times New Roman" w:cs="Times New Roman"/>
        </w:rPr>
        <w:t>,</w:t>
      </w:r>
      <w:r w:rsidRPr="00485A08">
        <w:rPr>
          <w:rFonts w:ascii="Times New Roman" w:hAnsi="Times New Roman" w:cs="Times New Roman"/>
        </w:rPr>
        <w:t xml:space="preserve"> eg, P McDonald and S Charlesworth, </w:t>
      </w:r>
      <w:r w:rsidRPr="00485A08">
        <w:rPr>
          <w:rFonts w:ascii="Times New Roman" w:hAnsi="Times New Roman" w:cs="Times New Roman"/>
          <w:i/>
        </w:rPr>
        <w:t>Initial Submission to the National Inquiry into Sexual Harassment in Australian Workplaces</w:t>
      </w:r>
      <w:r w:rsidRPr="00485A08">
        <w:rPr>
          <w:rFonts w:ascii="Times New Roman" w:hAnsi="Times New Roman" w:cs="Times New Roman"/>
        </w:rPr>
        <w:t xml:space="preserve">, </w:t>
      </w:r>
      <w:r w:rsidR="00AC2B24" w:rsidRPr="00485A08">
        <w:rPr>
          <w:rFonts w:ascii="Times New Roman" w:hAnsi="Times New Roman" w:cs="Times New Roman"/>
        </w:rPr>
        <w:t xml:space="preserve">Melbourne, </w:t>
      </w:r>
      <w:r w:rsidRPr="00485A08">
        <w:rPr>
          <w:rFonts w:ascii="Times New Roman" w:hAnsi="Times New Roman" w:cs="Times New Roman"/>
        </w:rPr>
        <w:t xml:space="preserve">2019, </w:t>
      </w:r>
      <w:r w:rsidR="007754A7" w:rsidRPr="00485A08">
        <w:rPr>
          <w:rFonts w:ascii="Times New Roman" w:hAnsi="Times New Roman" w:cs="Times New Roman"/>
        </w:rPr>
        <w:t xml:space="preserve">at </w:t>
      </w:r>
      <w:r w:rsidRPr="00485A08">
        <w:rPr>
          <w:rFonts w:ascii="Times New Roman" w:hAnsi="Times New Roman" w:cs="Times New Roman"/>
        </w:rPr>
        <w:t xml:space="preserve">17; Victoria Legal Aid (VLA), </w:t>
      </w:r>
      <w:r w:rsidR="000505C5">
        <w:rPr>
          <w:rFonts w:ascii="Times New Roman" w:hAnsi="Times New Roman" w:cs="Times New Roman"/>
          <w:i/>
          <w:iCs/>
        </w:rPr>
        <w:t>Change the Culture, Change the System: Urgent Action Needed to End Sexual Harassment at Work:</w:t>
      </w:r>
      <w:r w:rsidR="000505C5">
        <w:rPr>
          <w:rFonts w:ascii="Times New Roman" w:hAnsi="Times New Roman" w:cs="Times New Roman"/>
        </w:rPr>
        <w:t xml:space="preserve"> </w:t>
      </w:r>
      <w:r w:rsidR="004B03FB" w:rsidRPr="00485A08">
        <w:rPr>
          <w:rFonts w:ascii="Times New Roman" w:hAnsi="Times New Roman" w:cs="Times New Roman"/>
          <w:i/>
        </w:rPr>
        <w:t xml:space="preserve">Submission to the </w:t>
      </w:r>
      <w:r w:rsidR="00A06635">
        <w:rPr>
          <w:rFonts w:ascii="Times New Roman" w:hAnsi="Times New Roman" w:cs="Times New Roman"/>
          <w:i/>
        </w:rPr>
        <w:t xml:space="preserve">Australian Human Rights Commission’s </w:t>
      </w:r>
      <w:r w:rsidR="004B03FB" w:rsidRPr="00485A08">
        <w:rPr>
          <w:rFonts w:ascii="Times New Roman" w:hAnsi="Times New Roman" w:cs="Times New Roman"/>
          <w:i/>
        </w:rPr>
        <w:t>National Inquiry into Sexual Harassment in Australian Workplaces</w:t>
      </w:r>
      <w:r w:rsidRPr="00485A08">
        <w:rPr>
          <w:rFonts w:ascii="Times New Roman" w:hAnsi="Times New Roman" w:cs="Times New Roman"/>
        </w:rPr>
        <w:t xml:space="preserve">, </w:t>
      </w:r>
      <w:r w:rsidR="007A04E1" w:rsidRPr="00485A08">
        <w:rPr>
          <w:rFonts w:ascii="Times New Roman" w:hAnsi="Times New Roman" w:cs="Times New Roman"/>
        </w:rPr>
        <w:t>Melbourne</w:t>
      </w:r>
      <w:r w:rsidRPr="00485A08">
        <w:rPr>
          <w:rFonts w:ascii="Times New Roman" w:hAnsi="Times New Roman" w:cs="Times New Roman"/>
        </w:rPr>
        <w:t xml:space="preserve">, </w:t>
      </w:r>
      <w:r w:rsidR="00A06635">
        <w:rPr>
          <w:rFonts w:ascii="Times New Roman" w:hAnsi="Times New Roman" w:cs="Times New Roman"/>
        </w:rPr>
        <w:t xml:space="preserve">28 February </w:t>
      </w:r>
      <w:r w:rsidRPr="00485A08">
        <w:rPr>
          <w:rFonts w:ascii="Times New Roman" w:hAnsi="Times New Roman" w:cs="Times New Roman"/>
        </w:rPr>
        <w:t xml:space="preserve">2019, </w:t>
      </w:r>
      <w:r w:rsidR="007A04E1" w:rsidRPr="00485A08">
        <w:rPr>
          <w:rFonts w:ascii="Times New Roman" w:hAnsi="Times New Roman" w:cs="Times New Roman"/>
        </w:rPr>
        <w:t xml:space="preserve">at </w:t>
      </w:r>
      <w:r w:rsidRPr="00485A08">
        <w:rPr>
          <w:rFonts w:ascii="Times New Roman" w:hAnsi="Times New Roman" w:cs="Times New Roman"/>
        </w:rPr>
        <w:t>36</w:t>
      </w:r>
      <w:r w:rsidR="00DE6286" w:rsidRPr="00DE6286">
        <w:rPr>
          <w:rFonts w:ascii="Times New Roman" w:hAnsi="Times New Roman" w:cs="Times New Roman"/>
        </w:rPr>
        <w:t>–</w:t>
      </w:r>
      <w:r w:rsidR="004B06DE" w:rsidRPr="00485A08">
        <w:rPr>
          <w:rFonts w:ascii="Times New Roman" w:hAnsi="Times New Roman" w:cs="Times New Roman"/>
        </w:rPr>
        <w:t>7</w:t>
      </w:r>
      <w:r w:rsidRPr="00485A08">
        <w:rPr>
          <w:rFonts w:ascii="Times New Roman" w:hAnsi="Times New Roman" w:cs="Times New Roman"/>
        </w:rPr>
        <w:t xml:space="preserve">; </w:t>
      </w:r>
      <w:r w:rsidR="004B03FB" w:rsidRPr="00485A08">
        <w:rPr>
          <w:rFonts w:ascii="Times New Roman" w:hAnsi="Times New Roman" w:cs="Times New Roman"/>
        </w:rPr>
        <w:t xml:space="preserve">Australian </w:t>
      </w:r>
      <w:r w:rsidRPr="00485A08">
        <w:rPr>
          <w:rFonts w:ascii="Times New Roman" w:hAnsi="Times New Roman" w:cs="Times New Roman"/>
        </w:rPr>
        <w:t>Discrimination Law Experts Group,</w:t>
      </w:r>
      <w:r w:rsidR="004B03FB" w:rsidRPr="00485A08">
        <w:rPr>
          <w:rFonts w:ascii="Times New Roman" w:hAnsi="Times New Roman" w:cs="Times New Roman"/>
          <w:i/>
        </w:rPr>
        <w:t xml:space="preserve"> Submission to the National Inquiry into Sexual Harassment in Australian Workplaces</w:t>
      </w:r>
      <w:r w:rsidRPr="00485A08">
        <w:rPr>
          <w:rFonts w:ascii="Times New Roman" w:hAnsi="Times New Roman" w:cs="Times New Roman"/>
        </w:rPr>
        <w:t>,</w:t>
      </w:r>
      <w:r w:rsidR="004B03FB" w:rsidRPr="00485A08">
        <w:rPr>
          <w:rFonts w:ascii="Times New Roman" w:hAnsi="Times New Roman" w:cs="Times New Roman"/>
        </w:rPr>
        <w:t xml:space="preserve"> Melbourne</w:t>
      </w:r>
      <w:r w:rsidR="00AC2B24" w:rsidRPr="00485A08">
        <w:rPr>
          <w:rFonts w:ascii="Times New Roman" w:hAnsi="Times New Roman" w:cs="Times New Roman"/>
        </w:rPr>
        <w:t>,</w:t>
      </w:r>
      <w:r w:rsidRPr="00485A08">
        <w:rPr>
          <w:rFonts w:ascii="Times New Roman" w:hAnsi="Times New Roman" w:cs="Times New Roman"/>
        </w:rPr>
        <w:t xml:space="preserve"> 2019, </w:t>
      </w:r>
      <w:r w:rsidR="004B03FB" w:rsidRPr="00485A08">
        <w:rPr>
          <w:rFonts w:ascii="Times New Roman" w:hAnsi="Times New Roman" w:cs="Times New Roman"/>
        </w:rPr>
        <w:t xml:space="preserve">at </w:t>
      </w:r>
      <w:r w:rsidRPr="00485A08">
        <w:rPr>
          <w:rFonts w:ascii="Times New Roman" w:hAnsi="Times New Roman" w:cs="Times New Roman"/>
        </w:rPr>
        <w:t>42</w:t>
      </w:r>
      <w:r w:rsidR="002E33BC" w:rsidRPr="00485A08">
        <w:rPr>
          <w:rFonts w:ascii="Times New Roman" w:hAnsi="Times New Roman" w:cs="Times New Roman"/>
        </w:rPr>
        <w:t>–</w:t>
      </w:r>
      <w:r w:rsidRPr="00485A08">
        <w:rPr>
          <w:rFonts w:ascii="Times New Roman" w:hAnsi="Times New Roman" w:cs="Times New Roman"/>
        </w:rPr>
        <w:t>3.</w:t>
      </w:r>
    </w:p>
  </w:footnote>
  <w:footnote w:id="13">
    <w:p w14:paraId="320269E7" w14:textId="418F28E5"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Although most cases involve employees (or former employees) seeking a remedy against their employer (or former employer), the protective net of s 342 is much wider and includes independent contractors and their principals, and covers ‘adverse action’ by industrial associations and their officers against others. For the sake of simplicity this article focuses on ‘adverse action’ in the context of the employee</w:t>
      </w:r>
      <w:r w:rsidR="009A6B8B" w:rsidRPr="00485A08">
        <w:rPr>
          <w:rFonts w:ascii="Times New Roman" w:hAnsi="Times New Roman" w:cs="Times New Roman"/>
        </w:rPr>
        <w:t>–</w:t>
      </w:r>
      <w:r w:rsidRPr="00485A08">
        <w:rPr>
          <w:rFonts w:ascii="Times New Roman" w:hAnsi="Times New Roman" w:cs="Times New Roman"/>
        </w:rPr>
        <w:t>employer relationship.</w:t>
      </w:r>
    </w:p>
  </w:footnote>
  <w:footnote w:id="14">
    <w:p w14:paraId="320269E8" w14:textId="77777777"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Note that s 342(1) contains 7 items. This transcription is of item 1 only. ‘Adverse action’ also includes threatening and organising action: s 342(2).</w:t>
      </w:r>
    </w:p>
  </w:footnote>
  <w:footnote w:id="15">
    <w:p w14:paraId="320269E9" w14:textId="2C20ADC9" w:rsidR="00526B9C" w:rsidRPr="00485A08" w:rsidRDefault="00543F23" w:rsidP="00485A08">
      <w:pPr>
        <w:spacing w:after="0" w:line="240" w:lineRule="auto"/>
        <w:jc w:val="both"/>
        <w:outlineLvl w:val="2"/>
        <w:rPr>
          <w:rFonts w:ascii="Times New Roman" w:hAnsi="Times New Roman" w:cs="Times New Roman"/>
          <w:color w:val="FF0000"/>
          <w:sz w:val="20"/>
          <w:szCs w:val="20"/>
        </w:rPr>
      </w:pPr>
      <w:r w:rsidRPr="00485A08">
        <w:rPr>
          <w:rStyle w:val="FootnoteReference"/>
          <w:rFonts w:ascii="Times New Roman" w:hAnsi="Times New Roman" w:cs="Times New Roman"/>
          <w:sz w:val="20"/>
          <w:szCs w:val="20"/>
        </w:rPr>
        <w:footnoteRef/>
      </w:r>
      <w:r w:rsidRPr="00485A08">
        <w:rPr>
          <w:rFonts w:ascii="Times New Roman" w:hAnsi="Times New Roman" w:cs="Times New Roman"/>
          <w:sz w:val="20"/>
          <w:szCs w:val="20"/>
        </w:rPr>
        <w:t xml:space="preserve"> </w:t>
      </w:r>
      <w:r w:rsidRPr="00485A08">
        <w:rPr>
          <w:rFonts w:ascii="Times New Roman" w:eastAsia="Times New Roman" w:hAnsi="Times New Roman" w:cs="Times New Roman"/>
          <w:bCs/>
          <w:sz w:val="20"/>
          <w:szCs w:val="20"/>
          <w:lang w:val="en" w:eastAsia="en-AU"/>
        </w:rPr>
        <w:t>A Chapman, K Love and B Gaze, ‘The Reverse Onus of Proof Then and Now:</w:t>
      </w:r>
      <w:r w:rsidR="00FC2F7D" w:rsidRPr="00485A08">
        <w:rPr>
          <w:rFonts w:ascii="Times New Roman" w:eastAsia="Times New Roman" w:hAnsi="Times New Roman" w:cs="Times New Roman"/>
          <w:bCs/>
          <w:sz w:val="20"/>
          <w:szCs w:val="20"/>
          <w:lang w:val="en" w:eastAsia="en-AU"/>
        </w:rPr>
        <w:t xml:space="preserve"> T</w:t>
      </w:r>
      <w:r w:rsidRPr="00485A08">
        <w:rPr>
          <w:rFonts w:ascii="Times New Roman" w:eastAsia="Times New Roman" w:hAnsi="Times New Roman" w:cs="Times New Roman"/>
          <w:bCs/>
          <w:sz w:val="20"/>
          <w:szCs w:val="20"/>
          <w:lang w:val="en" w:eastAsia="en-AU"/>
        </w:rPr>
        <w:t xml:space="preserve">he </w:t>
      </w:r>
      <w:r w:rsidRPr="00BC2B25">
        <w:rPr>
          <w:rFonts w:ascii="Times New Roman" w:eastAsia="Times New Roman" w:hAnsi="Times New Roman" w:cs="Times New Roman"/>
          <w:bCs/>
          <w:i/>
          <w:iCs/>
          <w:sz w:val="20"/>
          <w:szCs w:val="20"/>
          <w:lang w:val="en" w:eastAsia="en-AU"/>
        </w:rPr>
        <w:t>Barclay</w:t>
      </w:r>
      <w:r w:rsidRPr="00485A08">
        <w:rPr>
          <w:rFonts w:ascii="Times New Roman" w:eastAsia="Times New Roman" w:hAnsi="Times New Roman" w:cs="Times New Roman"/>
          <w:bCs/>
          <w:sz w:val="20"/>
          <w:szCs w:val="20"/>
          <w:lang w:val="en" w:eastAsia="en-AU"/>
        </w:rPr>
        <w:t xml:space="preserve"> Case and </w:t>
      </w:r>
      <w:r w:rsidR="00525C14" w:rsidRPr="00485A08">
        <w:rPr>
          <w:rFonts w:ascii="Times New Roman" w:eastAsia="Times New Roman" w:hAnsi="Times New Roman" w:cs="Times New Roman"/>
          <w:bCs/>
          <w:sz w:val="20"/>
          <w:szCs w:val="20"/>
          <w:lang w:val="en" w:eastAsia="en-AU"/>
        </w:rPr>
        <w:t>t</w:t>
      </w:r>
      <w:r w:rsidRPr="00485A08">
        <w:rPr>
          <w:rFonts w:ascii="Times New Roman" w:eastAsia="Times New Roman" w:hAnsi="Times New Roman" w:cs="Times New Roman"/>
          <w:bCs/>
          <w:sz w:val="20"/>
          <w:szCs w:val="20"/>
          <w:lang w:val="en" w:eastAsia="en-AU"/>
        </w:rPr>
        <w:t xml:space="preserve">he History of the </w:t>
      </w:r>
      <w:r w:rsidRPr="00BC2B25">
        <w:rPr>
          <w:rFonts w:ascii="Times New Roman" w:eastAsia="Times New Roman" w:hAnsi="Times New Roman" w:cs="Times New Roman"/>
          <w:bCs/>
          <w:i/>
          <w:iCs/>
          <w:sz w:val="20"/>
          <w:szCs w:val="20"/>
          <w:lang w:val="en" w:eastAsia="en-AU"/>
        </w:rPr>
        <w:t>Fair Work Act</w:t>
      </w:r>
      <w:r w:rsidR="00525C14" w:rsidRPr="00485A08">
        <w:rPr>
          <w:rFonts w:ascii="Times New Roman" w:eastAsia="Times New Roman" w:hAnsi="Times New Roman" w:cs="Times New Roman"/>
          <w:bCs/>
          <w:sz w:val="20"/>
          <w:szCs w:val="20"/>
          <w:lang w:val="en" w:eastAsia="en-AU"/>
        </w:rPr>
        <w:t>’</w:t>
      </w:r>
      <w:r w:rsidRPr="00485A08">
        <w:rPr>
          <w:rFonts w:ascii="Times New Roman" w:eastAsia="Times New Roman" w:hAnsi="Times New Roman" w:cs="Times New Roman"/>
          <w:bCs/>
          <w:sz w:val="20"/>
          <w:szCs w:val="20"/>
          <w:lang w:val="en" w:eastAsia="en-AU"/>
        </w:rPr>
        <w:t xml:space="preserve">s Union </w:t>
      </w:r>
      <w:proofErr w:type="spellStart"/>
      <w:r w:rsidRPr="00485A08">
        <w:rPr>
          <w:rFonts w:ascii="Times New Roman" w:eastAsia="Times New Roman" w:hAnsi="Times New Roman" w:cs="Times New Roman"/>
          <w:bCs/>
          <w:sz w:val="20"/>
          <w:szCs w:val="20"/>
          <w:lang w:val="en" w:eastAsia="en-AU"/>
        </w:rPr>
        <w:t>Victimisation</w:t>
      </w:r>
      <w:proofErr w:type="spellEnd"/>
      <w:r w:rsidRPr="00485A08">
        <w:rPr>
          <w:rFonts w:ascii="Times New Roman" w:eastAsia="Times New Roman" w:hAnsi="Times New Roman" w:cs="Times New Roman"/>
          <w:bCs/>
          <w:sz w:val="20"/>
          <w:szCs w:val="20"/>
          <w:lang w:val="en" w:eastAsia="en-AU"/>
        </w:rPr>
        <w:t xml:space="preserve"> and Freedom of Association Provisions’ (2014) 37 </w:t>
      </w:r>
      <w:r w:rsidR="007F48DE" w:rsidRPr="00485A08">
        <w:rPr>
          <w:rFonts w:ascii="Times New Roman" w:eastAsia="Times New Roman" w:hAnsi="Times New Roman" w:cs="Times New Roman"/>
          <w:bCs/>
          <w:i/>
          <w:sz w:val="20"/>
          <w:szCs w:val="20"/>
          <w:lang w:val="en" w:eastAsia="en-AU"/>
        </w:rPr>
        <w:t>U</w:t>
      </w:r>
      <w:r w:rsidR="00CD5C22" w:rsidRPr="00485A08">
        <w:rPr>
          <w:rFonts w:ascii="Times New Roman" w:eastAsia="Times New Roman" w:hAnsi="Times New Roman" w:cs="Times New Roman"/>
          <w:bCs/>
          <w:i/>
          <w:sz w:val="20"/>
          <w:szCs w:val="20"/>
          <w:lang w:val="en" w:eastAsia="en-AU"/>
        </w:rPr>
        <w:t>NSW</w:t>
      </w:r>
      <w:r w:rsidR="00757477" w:rsidRPr="00485A08">
        <w:rPr>
          <w:rFonts w:ascii="Times New Roman" w:eastAsia="Times New Roman" w:hAnsi="Times New Roman" w:cs="Times New Roman"/>
          <w:bCs/>
          <w:i/>
          <w:sz w:val="20"/>
          <w:szCs w:val="20"/>
          <w:lang w:val="en" w:eastAsia="en-AU"/>
        </w:rPr>
        <w:t>LJ</w:t>
      </w:r>
      <w:r w:rsidRPr="00485A08">
        <w:rPr>
          <w:rFonts w:ascii="Times New Roman" w:eastAsia="Times New Roman" w:hAnsi="Times New Roman" w:cs="Times New Roman"/>
          <w:bCs/>
          <w:i/>
          <w:sz w:val="20"/>
          <w:szCs w:val="20"/>
          <w:lang w:val="en" w:eastAsia="en-AU"/>
        </w:rPr>
        <w:t xml:space="preserve"> </w:t>
      </w:r>
      <w:r w:rsidRPr="00485A08">
        <w:rPr>
          <w:rFonts w:ascii="Times New Roman" w:eastAsia="Times New Roman" w:hAnsi="Times New Roman" w:cs="Times New Roman"/>
          <w:bCs/>
          <w:sz w:val="20"/>
          <w:szCs w:val="20"/>
          <w:lang w:val="en" w:eastAsia="en-AU"/>
        </w:rPr>
        <w:t xml:space="preserve">471; Rice and Roles, above n 8, </w:t>
      </w:r>
      <w:r w:rsidR="009A3A48" w:rsidRPr="00485A08">
        <w:rPr>
          <w:rFonts w:ascii="Times New Roman" w:eastAsia="Times New Roman" w:hAnsi="Times New Roman" w:cs="Times New Roman"/>
          <w:bCs/>
          <w:sz w:val="20"/>
          <w:szCs w:val="20"/>
          <w:lang w:val="en" w:eastAsia="en-AU"/>
        </w:rPr>
        <w:t xml:space="preserve">at </w:t>
      </w:r>
      <w:r w:rsidRPr="00485A08">
        <w:rPr>
          <w:rFonts w:ascii="Times New Roman" w:eastAsia="Times New Roman" w:hAnsi="Times New Roman" w:cs="Times New Roman"/>
          <w:bCs/>
          <w:sz w:val="20"/>
          <w:szCs w:val="20"/>
          <w:lang w:val="en" w:eastAsia="en-AU"/>
        </w:rPr>
        <w:t>15</w:t>
      </w:r>
      <w:r w:rsidR="00FC2F7D" w:rsidRPr="00485A08">
        <w:rPr>
          <w:rFonts w:ascii="Times New Roman" w:eastAsia="Times New Roman" w:hAnsi="Times New Roman" w:cs="Times New Roman"/>
          <w:bCs/>
          <w:sz w:val="20"/>
          <w:szCs w:val="20"/>
          <w:lang w:val="en" w:eastAsia="en-AU"/>
        </w:rPr>
        <w:t>–</w:t>
      </w:r>
      <w:r w:rsidRPr="00485A08">
        <w:rPr>
          <w:rFonts w:ascii="Times New Roman" w:eastAsia="Times New Roman" w:hAnsi="Times New Roman" w:cs="Times New Roman"/>
          <w:bCs/>
          <w:sz w:val="20"/>
          <w:szCs w:val="20"/>
          <w:lang w:val="en" w:eastAsia="en-AU"/>
        </w:rPr>
        <w:t>17.</w:t>
      </w:r>
    </w:p>
  </w:footnote>
  <w:footnote w:id="16">
    <w:p w14:paraId="320269EA" w14:textId="510825AE" w:rsidR="00526B9C" w:rsidRPr="00485A08" w:rsidRDefault="00543F23" w:rsidP="00485A08">
      <w:pPr>
        <w:pStyle w:val="MediaNeutralStyle"/>
        <w:spacing w:before="0" w:after="0" w:line="240" w:lineRule="auto"/>
        <w:jc w:val="both"/>
        <w:rPr>
          <w:rFonts w:ascii="Times New Roman" w:hAnsi="Times New Roman" w:cs="Times New Roman"/>
          <w:b w:val="0"/>
          <w:sz w:val="20"/>
          <w:szCs w:val="20"/>
        </w:rPr>
      </w:pPr>
      <w:r w:rsidRPr="00485A08">
        <w:rPr>
          <w:rStyle w:val="FootnoteReference"/>
          <w:rFonts w:ascii="Times New Roman" w:hAnsi="Times New Roman" w:cs="Times New Roman"/>
          <w:b w:val="0"/>
          <w:sz w:val="20"/>
          <w:szCs w:val="20"/>
        </w:rPr>
        <w:footnoteRef/>
      </w:r>
      <w:r w:rsidRPr="00485A08">
        <w:rPr>
          <w:rFonts w:ascii="Times New Roman" w:hAnsi="Times New Roman" w:cs="Times New Roman"/>
          <w:b w:val="0"/>
          <w:sz w:val="20"/>
          <w:szCs w:val="20"/>
        </w:rPr>
        <w:t xml:space="preserve"> </w:t>
      </w:r>
      <w:r w:rsidRPr="00485A08">
        <w:rPr>
          <w:rFonts w:ascii="Times New Roman" w:hAnsi="Times New Roman" w:cs="Times New Roman"/>
          <w:b w:val="0"/>
          <w:i/>
          <w:iCs/>
          <w:sz w:val="20"/>
          <w:szCs w:val="20"/>
        </w:rPr>
        <w:t xml:space="preserve">Patrick Stevedores Operations No 2 </w:t>
      </w:r>
      <w:r w:rsidRPr="00485A08">
        <w:rPr>
          <w:rFonts w:ascii="Times New Roman" w:hAnsi="Times New Roman" w:cs="Times New Roman"/>
          <w:b w:val="0"/>
          <w:i/>
          <w:iCs/>
          <w:spacing w:val="-3"/>
          <w:sz w:val="20"/>
          <w:szCs w:val="20"/>
        </w:rPr>
        <w:t xml:space="preserve">Pty </w:t>
      </w:r>
      <w:r w:rsidRPr="00485A08">
        <w:rPr>
          <w:rFonts w:ascii="Times New Roman" w:hAnsi="Times New Roman" w:cs="Times New Roman"/>
          <w:b w:val="0"/>
          <w:i/>
          <w:iCs/>
          <w:sz w:val="20"/>
          <w:szCs w:val="20"/>
        </w:rPr>
        <w:t xml:space="preserve">Ltd v Maritime Union of Australia </w:t>
      </w:r>
      <w:r w:rsidRPr="00485A08">
        <w:rPr>
          <w:rFonts w:ascii="Times New Roman" w:hAnsi="Times New Roman" w:cs="Times New Roman"/>
          <w:b w:val="0"/>
          <w:iCs/>
          <w:sz w:val="20"/>
          <w:szCs w:val="20"/>
        </w:rPr>
        <w:t xml:space="preserve">(1998) 195 CLR </w:t>
      </w:r>
      <w:r w:rsidR="00373F4F" w:rsidRPr="00485A08">
        <w:rPr>
          <w:rFonts w:ascii="Times New Roman" w:hAnsi="Times New Roman" w:cs="Times New Roman"/>
          <w:b w:val="0"/>
          <w:iCs/>
          <w:sz w:val="20"/>
          <w:szCs w:val="20"/>
        </w:rPr>
        <w:t>1</w:t>
      </w:r>
      <w:r w:rsidR="003E3FB3">
        <w:rPr>
          <w:rFonts w:ascii="Times New Roman" w:hAnsi="Times New Roman" w:cs="Times New Roman"/>
          <w:b w:val="0"/>
          <w:iCs/>
          <w:sz w:val="20"/>
          <w:szCs w:val="20"/>
        </w:rPr>
        <w:t>;</w:t>
      </w:r>
      <w:r w:rsidR="00012DB6">
        <w:rPr>
          <w:rFonts w:ascii="Times New Roman" w:hAnsi="Times New Roman" w:cs="Times New Roman"/>
          <w:b w:val="0"/>
          <w:iCs/>
          <w:sz w:val="20"/>
          <w:szCs w:val="20"/>
        </w:rPr>
        <w:t xml:space="preserve"> </w:t>
      </w:r>
      <w:r w:rsidR="00012DB6" w:rsidRPr="00012DB6">
        <w:rPr>
          <w:rFonts w:ascii="Times New Roman" w:hAnsi="Times New Roman" w:cs="Times New Roman"/>
          <w:b w:val="0"/>
          <w:iCs/>
          <w:sz w:val="20"/>
          <w:szCs w:val="20"/>
        </w:rPr>
        <w:t>153 ALR 643</w:t>
      </w:r>
      <w:r w:rsidR="00012DB6">
        <w:rPr>
          <w:rFonts w:ascii="Times New Roman" w:hAnsi="Times New Roman" w:cs="Times New Roman"/>
          <w:b w:val="0"/>
          <w:iCs/>
          <w:sz w:val="20"/>
          <w:szCs w:val="20"/>
        </w:rPr>
        <w:t>;</w:t>
      </w:r>
      <w:r w:rsidR="003E3FB3">
        <w:rPr>
          <w:rFonts w:ascii="Times New Roman" w:hAnsi="Times New Roman" w:cs="Times New Roman"/>
          <w:b w:val="0"/>
          <w:iCs/>
          <w:sz w:val="20"/>
          <w:szCs w:val="20"/>
        </w:rPr>
        <w:t xml:space="preserve"> [1998] HCA 30</w:t>
      </w:r>
      <w:r w:rsidR="00373F4F" w:rsidRPr="00485A08">
        <w:rPr>
          <w:rFonts w:ascii="Times New Roman" w:hAnsi="Times New Roman" w:cs="Times New Roman"/>
          <w:b w:val="0"/>
          <w:iCs/>
          <w:sz w:val="20"/>
          <w:szCs w:val="20"/>
        </w:rPr>
        <w:t xml:space="preserve"> </w:t>
      </w:r>
      <w:r w:rsidR="007F48DE" w:rsidRPr="00485A08">
        <w:rPr>
          <w:rFonts w:ascii="Times New Roman" w:hAnsi="Times New Roman" w:cs="Times New Roman"/>
          <w:b w:val="0"/>
          <w:iCs/>
          <w:sz w:val="20"/>
          <w:szCs w:val="20"/>
        </w:rPr>
        <w:t xml:space="preserve">at </w:t>
      </w:r>
      <w:r w:rsidRPr="00485A08">
        <w:rPr>
          <w:rFonts w:ascii="Times New Roman" w:hAnsi="Times New Roman" w:cs="Times New Roman"/>
          <w:b w:val="0"/>
          <w:color w:val="000000"/>
          <w:sz w:val="20"/>
          <w:szCs w:val="20"/>
        </w:rPr>
        <w:t>[4]</w:t>
      </w:r>
      <w:r w:rsidR="00F26107" w:rsidRPr="00485A08">
        <w:rPr>
          <w:rFonts w:ascii="Times New Roman" w:hAnsi="Times New Roman" w:cs="Times New Roman"/>
          <w:b w:val="0"/>
          <w:color w:val="000000"/>
          <w:sz w:val="20"/>
          <w:szCs w:val="20"/>
        </w:rPr>
        <w:t>.</w:t>
      </w:r>
    </w:p>
  </w:footnote>
  <w:footnote w:id="17">
    <w:p w14:paraId="320269EB" w14:textId="5FA29545" w:rsidR="00526B9C" w:rsidRPr="00BC2B25" w:rsidRDefault="00543F23" w:rsidP="00485A08">
      <w:pPr>
        <w:pStyle w:val="FootnoteText"/>
        <w:jc w:val="both"/>
        <w:rPr>
          <w:rFonts w:ascii="Times New Roman" w:hAnsi="Times New Roman" w:cs="Times New Roman"/>
          <w:b/>
          <w:bCs/>
        </w:rPr>
      </w:pPr>
      <w:r w:rsidRPr="00485A08">
        <w:rPr>
          <w:rStyle w:val="FootnoteReference"/>
          <w:rFonts w:ascii="Times New Roman" w:hAnsi="Times New Roman" w:cs="Times New Roman"/>
        </w:rPr>
        <w:footnoteRef/>
      </w:r>
      <w:r w:rsidRPr="00485A08">
        <w:rPr>
          <w:rFonts w:ascii="Times New Roman" w:hAnsi="Times New Roman" w:cs="Times New Roman"/>
        </w:rPr>
        <w:t xml:space="preserve"> See</w:t>
      </w:r>
      <w:r w:rsidR="00D86868" w:rsidRPr="00485A08">
        <w:rPr>
          <w:rFonts w:ascii="Times New Roman" w:hAnsi="Times New Roman" w:cs="Times New Roman"/>
        </w:rPr>
        <w:t>,</w:t>
      </w:r>
      <w:r w:rsidRPr="00485A08">
        <w:rPr>
          <w:rFonts w:ascii="Times New Roman" w:hAnsi="Times New Roman" w:cs="Times New Roman"/>
        </w:rPr>
        <w:t xml:space="preserve"> eg, </w:t>
      </w:r>
      <w:proofErr w:type="spellStart"/>
      <w:r w:rsidRPr="00485A08">
        <w:rPr>
          <w:rFonts w:ascii="Times New Roman" w:hAnsi="Times New Roman" w:cs="Times New Roman"/>
          <w:i/>
          <w:iCs/>
          <w:lang w:val="en"/>
        </w:rPr>
        <w:t>McIlwain</w:t>
      </w:r>
      <w:proofErr w:type="spellEnd"/>
      <w:r w:rsidRPr="00485A08">
        <w:rPr>
          <w:rFonts w:ascii="Times New Roman" w:hAnsi="Times New Roman" w:cs="Times New Roman"/>
          <w:i/>
          <w:iCs/>
          <w:lang w:val="en"/>
        </w:rPr>
        <w:t xml:space="preserve"> v Ramsey Food Packaging Pty Ltd</w:t>
      </w:r>
      <w:r w:rsidR="00525C14" w:rsidRPr="00485A08">
        <w:rPr>
          <w:rFonts w:ascii="Times New Roman" w:hAnsi="Times New Roman" w:cs="Times New Roman"/>
          <w:i/>
          <w:iCs/>
          <w:lang w:val="en"/>
        </w:rPr>
        <w:t xml:space="preserve"> </w:t>
      </w:r>
      <w:r w:rsidR="00525C14" w:rsidRPr="00485A08">
        <w:rPr>
          <w:rFonts w:ascii="Times New Roman" w:hAnsi="Times New Roman" w:cs="Times New Roman"/>
          <w:lang w:val="en"/>
        </w:rPr>
        <w:t>(2006)</w:t>
      </w:r>
      <w:r w:rsidR="00F723A1">
        <w:rPr>
          <w:rFonts w:ascii="Times New Roman" w:hAnsi="Times New Roman" w:cs="Times New Roman"/>
          <w:lang w:val="en"/>
        </w:rPr>
        <w:t xml:space="preserve"> 154 IR 111; [2006] FCA 828</w:t>
      </w:r>
      <w:r w:rsidR="00525C14" w:rsidRPr="00485A08">
        <w:rPr>
          <w:rFonts w:ascii="Times New Roman" w:hAnsi="Times New Roman" w:cs="Times New Roman"/>
          <w:lang w:val="en"/>
        </w:rPr>
        <w:t xml:space="preserve"> </w:t>
      </w:r>
      <w:r w:rsidR="00C304BB" w:rsidRPr="00485A08">
        <w:rPr>
          <w:rFonts w:ascii="Times New Roman" w:hAnsi="Times New Roman" w:cs="Times New Roman"/>
          <w:lang w:val="en"/>
        </w:rPr>
        <w:t>(</w:t>
      </w:r>
      <w:proofErr w:type="spellStart"/>
      <w:r w:rsidR="00C304BB" w:rsidRPr="00485A08">
        <w:rPr>
          <w:rFonts w:ascii="Times New Roman" w:hAnsi="Times New Roman" w:cs="Times New Roman"/>
          <w:i/>
          <w:iCs/>
          <w:lang w:val="en"/>
        </w:rPr>
        <w:t>Mcllwain</w:t>
      </w:r>
      <w:proofErr w:type="spellEnd"/>
      <w:r w:rsidR="00C304BB" w:rsidRPr="00485A08">
        <w:rPr>
          <w:rFonts w:ascii="Times New Roman" w:hAnsi="Times New Roman" w:cs="Times New Roman"/>
          <w:lang w:val="en"/>
        </w:rPr>
        <w:t xml:space="preserve">) </w:t>
      </w:r>
      <w:r w:rsidR="00B40EE8" w:rsidRPr="00485A08">
        <w:rPr>
          <w:rFonts w:ascii="Times New Roman" w:hAnsi="Times New Roman" w:cs="Times New Roman"/>
          <w:lang w:val="en"/>
        </w:rPr>
        <w:t xml:space="preserve">at </w:t>
      </w:r>
      <w:r w:rsidR="00FC2F7D" w:rsidRPr="00BC2B25">
        <w:rPr>
          <w:rFonts w:ascii="Times New Roman" w:hAnsi="Times New Roman" w:cs="Times New Roman"/>
          <w:lang w:val="en"/>
        </w:rPr>
        <w:t>[349</w:t>
      </w:r>
      <w:r w:rsidR="00D26ACD" w:rsidRPr="00BC2B25">
        <w:rPr>
          <w:rFonts w:ascii="Times New Roman" w:hAnsi="Times New Roman" w:cs="Times New Roman"/>
          <w:lang w:val="en"/>
        </w:rPr>
        <w:t>]</w:t>
      </w:r>
      <w:r w:rsidRPr="00BC2B25">
        <w:rPr>
          <w:rFonts w:ascii="Times New Roman" w:hAnsi="Times New Roman" w:cs="Times New Roman"/>
          <w:lang w:val="en"/>
        </w:rPr>
        <w:t>.</w:t>
      </w:r>
      <w:r w:rsidR="007540E3" w:rsidRPr="00BC2B25">
        <w:rPr>
          <w:rFonts w:ascii="Times New Roman" w:hAnsi="Times New Roman" w:cs="Times New Roman"/>
          <w:lang w:val="en"/>
        </w:rPr>
        <w:t xml:space="preserve"> </w:t>
      </w:r>
    </w:p>
  </w:footnote>
  <w:footnote w:id="18">
    <w:p w14:paraId="320269EC" w14:textId="5C35E3D0" w:rsidR="00526B9C" w:rsidRPr="00485A08" w:rsidRDefault="00543F23" w:rsidP="00485A08">
      <w:pPr>
        <w:pStyle w:val="FootnoteText"/>
        <w:jc w:val="both"/>
        <w:rPr>
          <w:rFonts w:ascii="Times New Roman" w:hAnsi="Times New Roman" w:cs="Times New Roman"/>
        </w:rPr>
      </w:pPr>
      <w:r w:rsidRPr="00BC2B25">
        <w:rPr>
          <w:rStyle w:val="FootnoteReference"/>
          <w:rFonts w:ascii="Times New Roman" w:hAnsi="Times New Roman" w:cs="Times New Roman"/>
        </w:rPr>
        <w:footnoteRef/>
      </w:r>
      <w:r w:rsidRPr="00BC2B25">
        <w:rPr>
          <w:rFonts w:ascii="Times New Roman" w:hAnsi="Times New Roman" w:cs="Times New Roman"/>
        </w:rPr>
        <w:t xml:space="preserve"> See</w:t>
      </w:r>
      <w:r w:rsidR="00D86868" w:rsidRPr="00BC2B25">
        <w:rPr>
          <w:rFonts w:ascii="Times New Roman" w:hAnsi="Times New Roman" w:cs="Times New Roman"/>
        </w:rPr>
        <w:t>,</w:t>
      </w:r>
      <w:r w:rsidRPr="00BC2B25">
        <w:rPr>
          <w:rFonts w:ascii="Times New Roman" w:hAnsi="Times New Roman" w:cs="Times New Roman"/>
        </w:rPr>
        <w:t xml:space="preserve"> eg, </w:t>
      </w:r>
      <w:r w:rsidRPr="00BC2B25">
        <w:rPr>
          <w:rFonts w:ascii="Times New Roman" w:hAnsi="Times New Roman" w:cs="Times New Roman"/>
          <w:i/>
          <w:iCs/>
          <w:lang w:val="en"/>
        </w:rPr>
        <w:t xml:space="preserve">Squires v Flight Stewards Assn of Australia </w:t>
      </w:r>
      <w:r w:rsidR="00FC2F7D" w:rsidRPr="00BC2B25">
        <w:rPr>
          <w:rFonts w:ascii="Times New Roman" w:hAnsi="Times New Roman" w:cs="Times New Roman"/>
          <w:lang w:val="en"/>
        </w:rPr>
        <w:t xml:space="preserve">(1982) 2 IR 155 at </w:t>
      </w:r>
      <w:r w:rsidR="000E0DE6" w:rsidRPr="00BC2B25">
        <w:rPr>
          <w:rFonts w:ascii="Times New Roman" w:hAnsi="Times New Roman" w:cs="Times New Roman"/>
          <w:lang w:val="en"/>
        </w:rPr>
        <w:t>[</w:t>
      </w:r>
      <w:r w:rsidRPr="00BC2B25">
        <w:rPr>
          <w:rFonts w:ascii="Times New Roman" w:hAnsi="Times New Roman" w:cs="Times New Roman"/>
          <w:lang w:val="en"/>
        </w:rPr>
        <w:t>164</w:t>
      </w:r>
      <w:r w:rsidR="000E0DE6" w:rsidRPr="00BC2B25">
        <w:rPr>
          <w:rFonts w:ascii="Times New Roman" w:hAnsi="Times New Roman" w:cs="Times New Roman"/>
          <w:lang w:val="en"/>
        </w:rPr>
        <w:t>]</w:t>
      </w:r>
      <w:r w:rsidRPr="00BC2B25">
        <w:rPr>
          <w:rFonts w:ascii="Times New Roman" w:hAnsi="Times New Roman" w:cs="Times New Roman"/>
          <w:lang w:val="en"/>
        </w:rPr>
        <w:t>;</w:t>
      </w:r>
      <w:r w:rsidR="00D26ACD" w:rsidRPr="00BC2B25">
        <w:rPr>
          <w:rFonts w:ascii="Times New Roman" w:hAnsi="Times New Roman" w:cs="Times New Roman"/>
          <w:lang w:val="en"/>
        </w:rPr>
        <w:t xml:space="preserve"> </w:t>
      </w:r>
      <w:proofErr w:type="spellStart"/>
      <w:r w:rsidR="00D26ACD" w:rsidRPr="00BC2B25">
        <w:rPr>
          <w:rFonts w:ascii="Times New Roman" w:hAnsi="Times New Roman" w:cs="Times New Roman"/>
          <w:i/>
          <w:iCs/>
          <w:lang w:val="en"/>
        </w:rPr>
        <w:t>McIlwain</w:t>
      </w:r>
      <w:proofErr w:type="spellEnd"/>
      <w:r w:rsidR="00D26ACD" w:rsidRPr="00BC2B25">
        <w:rPr>
          <w:rFonts w:ascii="Times New Roman" w:hAnsi="Times New Roman" w:cs="Times New Roman"/>
          <w:lang w:val="en"/>
        </w:rPr>
        <w:t>, above n 17,</w:t>
      </w:r>
      <w:r w:rsidR="00A242A9" w:rsidRPr="00BC2B25">
        <w:rPr>
          <w:rFonts w:ascii="Times New Roman" w:hAnsi="Times New Roman" w:cs="Times New Roman"/>
          <w:lang w:val="en"/>
        </w:rPr>
        <w:t xml:space="preserve"> at </w:t>
      </w:r>
      <w:r w:rsidRPr="00BC2B25">
        <w:rPr>
          <w:rFonts w:ascii="Times New Roman" w:hAnsi="Times New Roman" w:cs="Times New Roman"/>
          <w:lang w:val="en"/>
        </w:rPr>
        <w:t>[347].</w:t>
      </w:r>
      <w:r w:rsidRPr="00485A08">
        <w:rPr>
          <w:rFonts w:ascii="Times New Roman" w:hAnsi="Times New Roman" w:cs="Times New Roman"/>
          <w:lang w:val="en"/>
        </w:rPr>
        <w:t xml:space="preserve"> </w:t>
      </w:r>
    </w:p>
  </w:footnote>
  <w:footnote w:id="19">
    <w:p w14:paraId="320269ED" w14:textId="10B55676" w:rsidR="00526B9C" w:rsidRPr="00485A08" w:rsidRDefault="00543F23" w:rsidP="00485A08">
      <w:pPr>
        <w:pStyle w:val="MediaNeutralStyle"/>
        <w:spacing w:before="0" w:after="0" w:line="240" w:lineRule="auto"/>
        <w:jc w:val="both"/>
        <w:rPr>
          <w:rFonts w:ascii="Times New Roman" w:hAnsi="Times New Roman" w:cs="Times New Roman"/>
          <w:b w:val="0"/>
          <w:sz w:val="20"/>
          <w:szCs w:val="20"/>
        </w:rPr>
      </w:pPr>
      <w:r w:rsidRPr="00485A08">
        <w:rPr>
          <w:rStyle w:val="FootnoteReference"/>
          <w:rFonts w:ascii="Times New Roman" w:hAnsi="Times New Roman" w:cs="Times New Roman"/>
          <w:b w:val="0"/>
          <w:sz w:val="20"/>
          <w:szCs w:val="20"/>
        </w:rPr>
        <w:footnoteRef/>
      </w:r>
      <w:r w:rsidRPr="00485A08">
        <w:rPr>
          <w:rFonts w:ascii="Times New Roman" w:hAnsi="Times New Roman" w:cs="Times New Roman"/>
          <w:b w:val="0"/>
          <w:sz w:val="20"/>
          <w:szCs w:val="20"/>
        </w:rPr>
        <w:t xml:space="preserve"> See</w:t>
      </w:r>
      <w:r w:rsidR="00D86868" w:rsidRPr="00485A08">
        <w:rPr>
          <w:rFonts w:ascii="Times New Roman" w:hAnsi="Times New Roman" w:cs="Times New Roman"/>
          <w:b w:val="0"/>
          <w:sz w:val="20"/>
          <w:szCs w:val="20"/>
        </w:rPr>
        <w:t>,</w:t>
      </w:r>
      <w:r w:rsidRPr="00485A08">
        <w:rPr>
          <w:rFonts w:ascii="Times New Roman" w:hAnsi="Times New Roman" w:cs="Times New Roman"/>
          <w:b w:val="0"/>
          <w:sz w:val="20"/>
          <w:szCs w:val="20"/>
        </w:rPr>
        <w:t xml:space="preserve"> eg, </w:t>
      </w:r>
      <w:r w:rsidRPr="00485A08">
        <w:rPr>
          <w:rFonts w:ascii="Times New Roman" w:hAnsi="Times New Roman" w:cs="Times New Roman"/>
          <w:b w:val="0"/>
          <w:i/>
          <w:sz w:val="20"/>
          <w:szCs w:val="20"/>
        </w:rPr>
        <w:t>Dutta v Telstra Corporation Ltd</w:t>
      </w:r>
      <w:r w:rsidRPr="00485A08">
        <w:rPr>
          <w:rFonts w:ascii="Times New Roman" w:hAnsi="Times New Roman" w:cs="Times New Roman"/>
          <w:b w:val="0"/>
          <w:sz w:val="20"/>
          <w:szCs w:val="20"/>
        </w:rPr>
        <w:t xml:space="preserve"> [2018] FCA 1994</w:t>
      </w:r>
      <w:r w:rsidR="007F48DE" w:rsidRPr="00485A08">
        <w:rPr>
          <w:rFonts w:ascii="Times New Roman" w:hAnsi="Times New Roman" w:cs="Times New Roman"/>
          <w:b w:val="0"/>
          <w:sz w:val="20"/>
          <w:szCs w:val="20"/>
        </w:rPr>
        <w:t xml:space="preserve"> </w:t>
      </w:r>
      <w:r w:rsidR="009278F7">
        <w:rPr>
          <w:rFonts w:ascii="Times New Roman" w:hAnsi="Times New Roman" w:cs="Times New Roman"/>
          <w:b w:val="0"/>
          <w:sz w:val="20"/>
          <w:szCs w:val="20"/>
        </w:rPr>
        <w:t xml:space="preserve">(13 December 2018) </w:t>
      </w:r>
      <w:r w:rsidR="007F48DE" w:rsidRPr="00485A08">
        <w:rPr>
          <w:rFonts w:ascii="Times New Roman" w:hAnsi="Times New Roman" w:cs="Times New Roman"/>
          <w:b w:val="0"/>
          <w:sz w:val="20"/>
          <w:szCs w:val="20"/>
        </w:rPr>
        <w:t>at</w:t>
      </w:r>
      <w:r w:rsidRPr="00485A08">
        <w:rPr>
          <w:rFonts w:ascii="Times New Roman" w:hAnsi="Times New Roman" w:cs="Times New Roman"/>
          <w:b w:val="0"/>
          <w:sz w:val="20"/>
          <w:szCs w:val="20"/>
        </w:rPr>
        <w:t xml:space="preserve"> [195]; </w:t>
      </w:r>
      <w:r w:rsidRPr="00485A08">
        <w:rPr>
          <w:rFonts w:ascii="Times New Roman" w:hAnsi="Times New Roman" w:cs="Times New Roman"/>
          <w:b w:val="0"/>
          <w:i/>
          <w:sz w:val="20"/>
          <w:szCs w:val="20"/>
          <w:lang w:val="en" w:eastAsia="en-AU"/>
        </w:rPr>
        <w:t>Qantas Airways Ltd v Australian Licensed Aircraft Engineers Association</w:t>
      </w:r>
      <w:r w:rsidRPr="00485A08">
        <w:rPr>
          <w:rFonts w:ascii="Times New Roman" w:hAnsi="Times New Roman" w:cs="Times New Roman"/>
          <w:b w:val="0"/>
          <w:sz w:val="20"/>
          <w:szCs w:val="20"/>
        </w:rPr>
        <w:t xml:space="preserve"> </w:t>
      </w:r>
      <w:r w:rsidR="00CA4796">
        <w:rPr>
          <w:rFonts w:ascii="Times New Roman" w:hAnsi="Times New Roman" w:cs="Times New Roman"/>
          <w:b w:val="0"/>
          <w:sz w:val="20"/>
          <w:szCs w:val="20"/>
        </w:rPr>
        <w:t xml:space="preserve">(2012) 202 FCR 244; </w:t>
      </w:r>
      <w:r w:rsidR="007D5573">
        <w:rPr>
          <w:rFonts w:ascii="Times New Roman" w:hAnsi="Times New Roman" w:cs="Times New Roman"/>
          <w:b w:val="0"/>
          <w:sz w:val="20"/>
          <w:szCs w:val="20"/>
        </w:rPr>
        <w:t xml:space="preserve">215 IR 451; </w:t>
      </w:r>
      <w:r w:rsidRPr="00485A08">
        <w:rPr>
          <w:rFonts w:ascii="Times New Roman" w:hAnsi="Times New Roman" w:cs="Times New Roman"/>
          <w:b w:val="0"/>
          <w:sz w:val="20"/>
          <w:szCs w:val="20"/>
          <w:lang w:val="en" w:eastAsia="en-AU"/>
        </w:rPr>
        <w:t>[2012]</w:t>
      </w:r>
      <w:r w:rsidR="00D26ACD" w:rsidRPr="00485A08">
        <w:rPr>
          <w:rFonts w:ascii="Times New Roman" w:hAnsi="Times New Roman" w:cs="Times New Roman"/>
          <w:b w:val="0"/>
          <w:sz w:val="20"/>
          <w:szCs w:val="20"/>
          <w:lang w:val="en" w:eastAsia="en-AU"/>
        </w:rPr>
        <w:t xml:space="preserve"> FCAFC 63</w:t>
      </w:r>
      <w:r w:rsidR="00D745F6" w:rsidRPr="00485A08">
        <w:rPr>
          <w:rFonts w:ascii="Times New Roman" w:hAnsi="Times New Roman" w:cs="Times New Roman"/>
          <w:b w:val="0"/>
          <w:sz w:val="20"/>
          <w:szCs w:val="20"/>
          <w:lang w:val="en" w:eastAsia="en-AU"/>
        </w:rPr>
        <w:t xml:space="preserve"> </w:t>
      </w:r>
      <w:r w:rsidR="007F48DE" w:rsidRPr="00485A08">
        <w:rPr>
          <w:rFonts w:ascii="Times New Roman" w:hAnsi="Times New Roman" w:cs="Times New Roman"/>
          <w:b w:val="0"/>
          <w:sz w:val="20"/>
          <w:szCs w:val="20"/>
          <w:lang w:val="en" w:eastAsia="en-AU"/>
        </w:rPr>
        <w:t>at</w:t>
      </w:r>
      <w:r w:rsidRPr="00485A08">
        <w:rPr>
          <w:rFonts w:ascii="Times New Roman" w:hAnsi="Times New Roman" w:cs="Times New Roman"/>
          <w:b w:val="0"/>
          <w:sz w:val="20"/>
          <w:szCs w:val="20"/>
          <w:lang w:val="en" w:eastAsia="en-AU"/>
        </w:rPr>
        <w:t xml:space="preserve"> [32];</w:t>
      </w:r>
      <w:r w:rsidRPr="00485A08">
        <w:rPr>
          <w:rFonts w:ascii="Times New Roman" w:hAnsi="Times New Roman" w:cs="Times New Roman"/>
          <w:b w:val="0"/>
          <w:sz w:val="20"/>
          <w:szCs w:val="20"/>
        </w:rPr>
        <w:t xml:space="preserve"> </w:t>
      </w:r>
      <w:r w:rsidRPr="00485A08">
        <w:rPr>
          <w:rFonts w:ascii="Times New Roman" w:hAnsi="Times New Roman" w:cs="Times New Roman"/>
          <w:b w:val="0"/>
          <w:i/>
          <w:sz w:val="20"/>
          <w:szCs w:val="20"/>
        </w:rPr>
        <w:t>Hodkinson v Commonwealth</w:t>
      </w:r>
      <w:r w:rsidRPr="00485A08">
        <w:rPr>
          <w:rFonts w:ascii="Times New Roman" w:hAnsi="Times New Roman" w:cs="Times New Roman"/>
          <w:b w:val="0"/>
          <w:sz w:val="20"/>
          <w:szCs w:val="20"/>
        </w:rPr>
        <w:t xml:space="preserve"> </w:t>
      </w:r>
      <w:r w:rsidR="008C3652" w:rsidRPr="00485A08">
        <w:rPr>
          <w:rFonts w:ascii="Times New Roman" w:hAnsi="Times New Roman" w:cs="Times New Roman"/>
          <w:b w:val="0"/>
          <w:sz w:val="20"/>
          <w:szCs w:val="20"/>
        </w:rPr>
        <w:t>(2011) 248 FLR 409</w:t>
      </w:r>
      <w:r w:rsidR="000B0356">
        <w:rPr>
          <w:rFonts w:ascii="Times New Roman" w:hAnsi="Times New Roman" w:cs="Times New Roman"/>
          <w:b w:val="0"/>
          <w:sz w:val="20"/>
          <w:szCs w:val="20"/>
        </w:rPr>
        <w:t>; [</w:t>
      </w:r>
      <w:r w:rsidR="006B4F7E">
        <w:rPr>
          <w:rFonts w:ascii="Times New Roman" w:hAnsi="Times New Roman" w:cs="Times New Roman"/>
          <w:b w:val="0"/>
          <w:sz w:val="20"/>
          <w:szCs w:val="20"/>
        </w:rPr>
        <w:t>2011</w:t>
      </w:r>
      <w:r w:rsidR="000B0356">
        <w:rPr>
          <w:rFonts w:ascii="Times New Roman" w:hAnsi="Times New Roman" w:cs="Times New Roman"/>
          <w:b w:val="0"/>
          <w:sz w:val="20"/>
          <w:szCs w:val="20"/>
        </w:rPr>
        <w:t>]</w:t>
      </w:r>
      <w:r w:rsidR="006B4F7E">
        <w:rPr>
          <w:rFonts w:ascii="Times New Roman" w:hAnsi="Times New Roman" w:cs="Times New Roman"/>
          <w:b w:val="0"/>
          <w:sz w:val="20"/>
          <w:szCs w:val="20"/>
        </w:rPr>
        <w:t xml:space="preserve"> FMCA 171</w:t>
      </w:r>
      <w:r w:rsidRPr="00485A08">
        <w:rPr>
          <w:rFonts w:ascii="Times New Roman" w:hAnsi="Times New Roman" w:cs="Times New Roman"/>
          <w:b w:val="0"/>
          <w:sz w:val="20"/>
          <w:szCs w:val="20"/>
        </w:rPr>
        <w:t xml:space="preserve"> (</w:t>
      </w:r>
      <w:r w:rsidRPr="00485A08">
        <w:rPr>
          <w:rFonts w:ascii="Times New Roman" w:hAnsi="Times New Roman" w:cs="Times New Roman"/>
          <w:b w:val="0"/>
          <w:i/>
          <w:sz w:val="20"/>
          <w:szCs w:val="20"/>
        </w:rPr>
        <w:t>Hodkinson</w:t>
      </w:r>
      <w:r w:rsidRPr="00485A08">
        <w:rPr>
          <w:rFonts w:ascii="Times New Roman" w:hAnsi="Times New Roman" w:cs="Times New Roman"/>
          <w:b w:val="0"/>
          <w:sz w:val="20"/>
          <w:szCs w:val="20"/>
        </w:rPr>
        <w:t>).</w:t>
      </w:r>
    </w:p>
  </w:footnote>
  <w:footnote w:id="20">
    <w:p w14:paraId="320269EE" w14:textId="21230FBD"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FW</w:t>
      </w:r>
      <w:r w:rsidR="00527D86" w:rsidRPr="00485A08">
        <w:rPr>
          <w:rFonts w:ascii="Times New Roman" w:hAnsi="Times New Roman" w:cs="Times New Roman"/>
        </w:rPr>
        <w:t xml:space="preserve"> </w:t>
      </w:r>
      <w:r w:rsidRPr="00485A08">
        <w:rPr>
          <w:rFonts w:ascii="Times New Roman" w:hAnsi="Times New Roman" w:cs="Times New Roman"/>
        </w:rPr>
        <w:t>A</w:t>
      </w:r>
      <w:r w:rsidR="00527D86" w:rsidRPr="00485A08">
        <w:rPr>
          <w:rFonts w:ascii="Times New Roman" w:hAnsi="Times New Roman" w:cs="Times New Roman"/>
        </w:rPr>
        <w:t>ct</w:t>
      </w:r>
      <w:r w:rsidRPr="00485A08">
        <w:rPr>
          <w:rFonts w:ascii="Times New Roman" w:hAnsi="Times New Roman" w:cs="Times New Roman"/>
        </w:rPr>
        <w:t xml:space="preserve"> Part 3-1 </w:t>
      </w:r>
      <w:proofErr w:type="spellStart"/>
      <w:r w:rsidRPr="00485A08">
        <w:rPr>
          <w:rFonts w:ascii="Times New Roman" w:hAnsi="Times New Roman" w:cs="Times New Roman"/>
        </w:rPr>
        <w:t>Div</w:t>
      </w:r>
      <w:proofErr w:type="spellEnd"/>
      <w:r w:rsidRPr="00485A08">
        <w:rPr>
          <w:rFonts w:ascii="Times New Roman" w:hAnsi="Times New Roman" w:cs="Times New Roman"/>
        </w:rPr>
        <w:t xml:space="preserve"> 4.</w:t>
      </w:r>
    </w:p>
  </w:footnote>
  <w:footnote w:id="21">
    <w:p w14:paraId="320269EF" w14:textId="080D7FB4"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004A4A9F" w:rsidRPr="00485A08">
        <w:rPr>
          <w:rFonts w:ascii="Times New Roman" w:hAnsi="Times New Roman" w:cs="Times New Roman"/>
        </w:rPr>
        <w:t xml:space="preserve">Ibid, </w:t>
      </w:r>
      <w:r w:rsidRPr="00485A08">
        <w:rPr>
          <w:rFonts w:ascii="Times New Roman" w:hAnsi="Times New Roman" w:cs="Times New Roman"/>
        </w:rPr>
        <w:t xml:space="preserve">Part 3-1 </w:t>
      </w:r>
      <w:proofErr w:type="spellStart"/>
      <w:r w:rsidRPr="00485A08">
        <w:rPr>
          <w:rFonts w:ascii="Times New Roman" w:hAnsi="Times New Roman" w:cs="Times New Roman"/>
        </w:rPr>
        <w:t>Div</w:t>
      </w:r>
      <w:proofErr w:type="spellEnd"/>
      <w:r w:rsidRPr="00485A08">
        <w:rPr>
          <w:rFonts w:ascii="Times New Roman" w:hAnsi="Times New Roman" w:cs="Times New Roman"/>
        </w:rPr>
        <w:t xml:space="preserve"> 3.</w:t>
      </w:r>
    </w:p>
  </w:footnote>
  <w:footnote w:id="22">
    <w:p w14:paraId="320269F0" w14:textId="6383FE3C"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004A4A9F" w:rsidRPr="00485A08">
        <w:rPr>
          <w:rFonts w:ascii="Times New Roman" w:hAnsi="Times New Roman" w:cs="Times New Roman"/>
        </w:rPr>
        <w:t>Ibid,</w:t>
      </w:r>
      <w:r w:rsidRPr="00485A08">
        <w:rPr>
          <w:rFonts w:ascii="Times New Roman" w:hAnsi="Times New Roman" w:cs="Times New Roman"/>
        </w:rPr>
        <w:t xml:space="preserve"> s 351(2)(b). Other exemptions to s 351(1) relate to where the conduct: was ‘not unlawful under any anti-discrimination law in force in the place where the action is taken’; or, took place in a religious institution</w:t>
      </w:r>
      <w:r w:rsidR="0000253A" w:rsidRPr="00485A08">
        <w:rPr>
          <w:rFonts w:ascii="Times New Roman" w:hAnsi="Times New Roman" w:cs="Times New Roman"/>
        </w:rPr>
        <w:t>: s</w:t>
      </w:r>
      <w:r w:rsidR="001D564E" w:rsidRPr="00485A08">
        <w:rPr>
          <w:rFonts w:ascii="Times New Roman" w:hAnsi="Times New Roman" w:cs="Times New Roman"/>
        </w:rPr>
        <w:t xml:space="preserve"> </w:t>
      </w:r>
      <w:r w:rsidR="0000253A" w:rsidRPr="00485A08">
        <w:rPr>
          <w:rFonts w:ascii="Times New Roman" w:hAnsi="Times New Roman" w:cs="Times New Roman"/>
        </w:rPr>
        <w:t>351(2)</w:t>
      </w:r>
      <w:r w:rsidRPr="00485A08">
        <w:rPr>
          <w:rFonts w:ascii="Times New Roman" w:hAnsi="Times New Roman" w:cs="Times New Roman"/>
        </w:rPr>
        <w:t>.</w:t>
      </w:r>
    </w:p>
  </w:footnote>
  <w:footnote w:id="23">
    <w:p w14:paraId="320269F1" w14:textId="17C2A79D"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See </w:t>
      </w:r>
      <w:r w:rsidR="00AC6F0F" w:rsidRPr="00485A08">
        <w:rPr>
          <w:rFonts w:ascii="Times New Roman" w:hAnsi="Times New Roman" w:cs="Times New Roman"/>
        </w:rPr>
        <w:t xml:space="preserve">also </w:t>
      </w:r>
      <w:r w:rsidR="0017434F">
        <w:rPr>
          <w:rFonts w:ascii="Times New Roman" w:hAnsi="Times New Roman" w:cs="Times New Roman"/>
        </w:rPr>
        <w:t>ibid,</w:t>
      </w:r>
      <w:r w:rsidR="004A4A9F" w:rsidRPr="00485A08">
        <w:rPr>
          <w:rFonts w:ascii="Times New Roman" w:hAnsi="Times New Roman" w:cs="Times New Roman"/>
        </w:rPr>
        <w:t xml:space="preserve"> </w:t>
      </w:r>
      <w:r w:rsidRPr="00485A08">
        <w:rPr>
          <w:rFonts w:ascii="Times New Roman" w:hAnsi="Times New Roman" w:cs="Times New Roman"/>
        </w:rPr>
        <w:t>s 360.</w:t>
      </w:r>
    </w:p>
  </w:footnote>
  <w:footnote w:id="24">
    <w:p w14:paraId="320269F2" w14:textId="0CDA6067" w:rsidR="00526B9C" w:rsidRPr="00485A08" w:rsidRDefault="00543F23" w:rsidP="00485A08">
      <w:pPr>
        <w:pStyle w:val="FootnoteText"/>
        <w:jc w:val="both"/>
        <w:rPr>
          <w:rFonts w:ascii="Times New Roman" w:hAnsi="Times New Roman" w:cs="Times New Roman"/>
          <w:color w:val="FF0000"/>
        </w:rPr>
      </w:pPr>
      <w:r w:rsidRPr="00485A08">
        <w:rPr>
          <w:rStyle w:val="FootnoteReference"/>
          <w:rFonts w:ascii="Times New Roman" w:hAnsi="Times New Roman" w:cs="Times New Roman"/>
        </w:rPr>
        <w:footnoteRef/>
      </w:r>
      <w:r w:rsidRPr="00485A08">
        <w:rPr>
          <w:rFonts w:ascii="Times New Roman" w:hAnsi="Times New Roman" w:cs="Times New Roman"/>
        </w:rPr>
        <w:t xml:space="preserve"> See</w:t>
      </w:r>
      <w:r w:rsidR="00D86868" w:rsidRPr="00485A08">
        <w:rPr>
          <w:rFonts w:ascii="Times New Roman" w:hAnsi="Times New Roman" w:cs="Times New Roman"/>
        </w:rPr>
        <w:t>,</w:t>
      </w:r>
      <w:r w:rsidRPr="00485A08">
        <w:rPr>
          <w:rFonts w:ascii="Times New Roman" w:hAnsi="Times New Roman" w:cs="Times New Roman"/>
        </w:rPr>
        <w:t xml:space="preserve"> eg, S </w:t>
      </w:r>
      <w:proofErr w:type="spellStart"/>
      <w:r w:rsidRPr="00485A08">
        <w:rPr>
          <w:rFonts w:ascii="Times New Roman" w:hAnsi="Times New Roman" w:cs="Times New Roman"/>
        </w:rPr>
        <w:t>Fredman</w:t>
      </w:r>
      <w:proofErr w:type="spellEnd"/>
      <w:r w:rsidRPr="00485A08">
        <w:rPr>
          <w:rFonts w:ascii="Times New Roman" w:hAnsi="Times New Roman" w:cs="Times New Roman"/>
        </w:rPr>
        <w:t>, ‘Changing the Norm: Positive Duties in Equal Treatment Legislation’ (2005)</w:t>
      </w:r>
      <w:r w:rsidR="007153FE" w:rsidRPr="00485A08">
        <w:rPr>
          <w:rFonts w:ascii="Times New Roman" w:hAnsi="Times New Roman" w:cs="Times New Roman"/>
        </w:rPr>
        <w:t xml:space="preserve"> 12 </w:t>
      </w:r>
      <w:r w:rsidR="00125AC3">
        <w:rPr>
          <w:rFonts w:ascii="Times New Roman" w:hAnsi="Times New Roman" w:cs="Times New Roman"/>
          <w:i/>
        </w:rPr>
        <w:t>MJ</w:t>
      </w:r>
      <w:r w:rsidR="00215FA0">
        <w:rPr>
          <w:rFonts w:ascii="Times New Roman" w:hAnsi="Times New Roman" w:cs="Times New Roman"/>
          <w:i/>
        </w:rPr>
        <w:t xml:space="preserve"> </w:t>
      </w:r>
      <w:r w:rsidRPr="00485A08">
        <w:rPr>
          <w:rFonts w:ascii="Times New Roman" w:hAnsi="Times New Roman" w:cs="Times New Roman"/>
        </w:rPr>
        <w:t>369; B Smith, ‘It’s About Time</w:t>
      </w:r>
      <w:r w:rsidR="0017434F">
        <w:rPr>
          <w:rFonts w:ascii="Times New Roman" w:hAnsi="Times New Roman" w:cs="Times New Roman"/>
        </w:rPr>
        <w:t>:</w:t>
      </w:r>
      <w:r w:rsidRPr="00485A08">
        <w:rPr>
          <w:rFonts w:ascii="Times New Roman" w:hAnsi="Times New Roman" w:cs="Times New Roman"/>
        </w:rPr>
        <w:t xml:space="preserve"> For a New </w:t>
      </w:r>
      <w:r w:rsidR="006E7E7C" w:rsidRPr="00485A08">
        <w:rPr>
          <w:rFonts w:ascii="Times New Roman" w:hAnsi="Times New Roman" w:cs="Times New Roman"/>
        </w:rPr>
        <w:t xml:space="preserve">Regulatory </w:t>
      </w:r>
      <w:r w:rsidRPr="00485A08">
        <w:rPr>
          <w:rFonts w:ascii="Times New Roman" w:hAnsi="Times New Roman" w:cs="Times New Roman"/>
        </w:rPr>
        <w:t xml:space="preserve">Approach to Equality’ </w:t>
      </w:r>
      <w:r w:rsidR="00B2309B" w:rsidRPr="00485A08">
        <w:rPr>
          <w:rFonts w:ascii="Times New Roman" w:hAnsi="Times New Roman" w:cs="Times New Roman"/>
        </w:rPr>
        <w:t xml:space="preserve">(2008) 36 </w:t>
      </w:r>
      <w:r w:rsidR="00FC2F7D" w:rsidRPr="00485A08">
        <w:rPr>
          <w:rFonts w:ascii="Times New Roman" w:hAnsi="Times New Roman" w:cs="Times New Roman"/>
          <w:i/>
          <w:iCs/>
        </w:rPr>
        <w:t>FL</w:t>
      </w:r>
      <w:r w:rsidR="008E14BB">
        <w:rPr>
          <w:rFonts w:ascii="Times New Roman" w:hAnsi="Times New Roman" w:cs="Times New Roman"/>
          <w:i/>
          <w:iCs/>
        </w:rPr>
        <w:t xml:space="preserve"> </w:t>
      </w:r>
      <w:r w:rsidR="00FC2F7D" w:rsidRPr="00485A08">
        <w:rPr>
          <w:rFonts w:ascii="Times New Roman" w:hAnsi="Times New Roman" w:cs="Times New Roman"/>
          <w:i/>
          <w:iCs/>
        </w:rPr>
        <w:t>R</w:t>
      </w:r>
      <w:r w:rsidR="008E14BB">
        <w:rPr>
          <w:rFonts w:ascii="Times New Roman" w:hAnsi="Times New Roman" w:cs="Times New Roman"/>
          <w:i/>
          <w:iCs/>
        </w:rPr>
        <w:t>ev</w:t>
      </w:r>
      <w:r w:rsidR="00B2309B" w:rsidRPr="00485A08">
        <w:rPr>
          <w:rFonts w:ascii="Times New Roman" w:hAnsi="Times New Roman" w:cs="Times New Roman"/>
        </w:rPr>
        <w:t xml:space="preserve"> 117</w:t>
      </w:r>
      <w:r w:rsidRPr="00485A08">
        <w:rPr>
          <w:rFonts w:ascii="Times New Roman" w:hAnsi="Times New Roman" w:cs="Times New Roman"/>
        </w:rPr>
        <w:t xml:space="preserve">; Gaze and Smith, above n 5, </w:t>
      </w:r>
      <w:r w:rsidR="00D70D1B" w:rsidRPr="00485A08">
        <w:rPr>
          <w:rFonts w:ascii="Times New Roman" w:hAnsi="Times New Roman" w:cs="Times New Roman"/>
        </w:rPr>
        <w:t xml:space="preserve">at </w:t>
      </w:r>
      <w:r w:rsidR="00BA3142" w:rsidRPr="00485A08">
        <w:rPr>
          <w:rFonts w:ascii="Times New Roman" w:hAnsi="Times New Roman" w:cs="Times New Roman"/>
        </w:rPr>
        <w:t>pp</w:t>
      </w:r>
      <w:r w:rsidR="00FA4CB4">
        <w:rPr>
          <w:rFonts w:ascii="Times New Roman" w:hAnsi="Times New Roman" w:cs="Times New Roman"/>
        </w:rPr>
        <w:t xml:space="preserve"> </w:t>
      </w:r>
      <w:r w:rsidRPr="00485A08">
        <w:rPr>
          <w:rFonts w:ascii="Times New Roman" w:hAnsi="Times New Roman" w:cs="Times New Roman"/>
        </w:rPr>
        <w:t>125</w:t>
      </w:r>
      <w:r w:rsidR="00D70D1B" w:rsidRPr="00485A08">
        <w:rPr>
          <w:rFonts w:ascii="Times New Roman" w:hAnsi="Times New Roman" w:cs="Times New Roman"/>
        </w:rPr>
        <w:t>–</w:t>
      </w:r>
      <w:r w:rsidRPr="00485A08">
        <w:rPr>
          <w:rFonts w:ascii="Times New Roman" w:hAnsi="Times New Roman" w:cs="Times New Roman"/>
        </w:rPr>
        <w:t>9</w:t>
      </w:r>
      <w:r w:rsidR="00C300E2" w:rsidRPr="00485A08">
        <w:rPr>
          <w:rFonts w:ascii="Times New Roman" w:hAnsi="Times New Roman" w:cs="Times New Roman"/>
        </w:rPr>
        <w:t>.</w:t>
      </w:r>
    </w:p>
  </w:footnote>
  <w:footnote w:id="25">
    <w:p w14:paraId="320269F4" w14:textId="30B0FFD3" w:rsidR="00526B9C" w:rsidRPr="00485A08" w:rsidRDefault="00543F23" w:rsidP="00485A08">
      <w:pPr>
        <w:autoSpaceDE w:val="0"/>
        <w:autoSpaceDN w:val="0"/>
        <w:adjustRightInd w:val="0"/>
        <w:spacing w:after="0" w:line="240" w:lineRule="auto"/>
        <w:jc w:val="both"/>
        <w:rPr>
          <w:rFonts w:ascii="Times New Roman" w:hAnsi="Times New Roman" w:cs="Times New Roman"/>
          <w:sz w:val="20"/>
          <w:szCs w:val="20"/>
          <w:lang w:eastAsia="ko-KR"/>
        </w:rPr>
      </w:pPr>
      <w:r w:rsidRPr="00485A08">
        <w:rPr>
          <w:rStyle w:val="FootnoteReference"/>
          <w:rFonts w:ascii="Times New Roman" w:hAnsi="Times New Roman" w:cs="Times New Roman"/>
          <w:sz w:val="20"/>
          <w:szCs w:val="20"/>
        </w:rPr>
        <w:footnoteRef/>
      </w:r>
      <w:r w:rsidRPr="00485A08">
        <w:rPr>
          <w:rFonts w:ascii="Times New Roman" w:hAnsi="Times New Roman" w:cs="Times New Roman"/>
          <w:sz w:val="20"/>
          <w:szCs w:val="20"/>
        </w:rPr>
        <w:t xml:space="preserve"> </w:t>
      </w:r>
      <w:r w:rsidRPr="00485A08">
        <w:rPr>
          <w:rFonts w:ascii="Times New Roman" w:hAnsi="Times New Roman" w:cs="Times New Roman"/>
          <w:bCs/>
          <w:sz w:val="20"/>
          <w:szCs w:val="20"/>
        </w:rPr>
        <w:t xml:space="preserve">Productivity Commission, </w:t>
      </w:r>
      <w:r w:rsidRPr="00485A08">
        <w:rPr>
          <w:rFonts w:ascii="Times New Roman" w:hAnsi="Times New Roman" w:cs="Times New Roman"/>
          <w:bCs/>
          <w:i/>
          <w:iCs/>
          <w:sz w:val="20"/>
          <w:szCs w:val="20"/>
        </w:rPr>
        <w:t>Review of the Disability Discrimination Act 1992</w:t>
      </w:r>
      <w:r w:rsidRPr="00BC2B25">
        <w:rPr>
          <w:rFonts w:ascii="Times New Roman" w:hAnsi="Times New Roman" w:cs="Times New Roman"/>
          <w:bCs/>
          <w:sz w:val="20"/>
          <w:szCs w:val="20"/>
        </w:rPr>
        <w:t>,</w:t>
      </w:r>
      <w:r w:rsidR="00FC2F7D" w:rsidRPr="00485A08">
        <w:rPr>
          <w:rFonts w:ascii="Times New Roman" w:hAnsi="Times New Roman" w:cs="Times New Roman"/>
          <w:bCs/>
          <w:i/>
          <w:iCs/>
          <w:sz w:val="20"/>
          <w:szCs w:val="20"/>
        </w:rPr>
        <w:t xml:space="preserve"> </w:t>
      </w:r>
      <w:r w:rsidR="004F6737" w:rsidRPr="00485A08">
        <w:rPr>
          <w:rFonts w:ascii="Times New Roman" w:hAnsi="Times New Roman" w:cs="Times New Roman"/>
          <w:sz w:val="20"/>
          <w:szCs w:val="20"/>
        </w:rPr>
        <w:t xml:space="preserve">Inquiry </w:t>
      </w:r>
      <w:r w:rsidRPr="00485A08">
        <w:rPr>
          <w:rFonts w:ascii="Times New Roman" w:hAnsi="Times New Roman" w:cs="Times New Roman"/>
          <w:sz w:val="20"/>
          <w:szCs w:val="20"/>
        </w:rPr>
        <w:t>Report No 30</w:t>
      </w:r>
      <w:r w:rsidR="004F6737" w:rsidRPr="00485A08">
        <w:rPr>
          <w:rFonts w:ascii="Times New Roman" w:hAnsi="Times New Roman" w:cs="Times New Roman"/>
          <w:sz w:val="20"/>
          <w:szCs w:val="20"/>
        </w:rPr>
        <w:t xml:space="preserve">, Productivity </w:t>
      </w:r>
      <w:r w:rsidR="003714F5" w:rsidRPr="00485A08">
        <w:rPr>
          <w:rFonts w:ascii="Times New Roman" w:hAnsi="Times New Roman" w:cs="Times New Roman"/>
          <w:sz w:val="20"/>
          <w:szCs w:val="20"/>
        </w:rPr>
        <w:t>Commission</w:t>
      </w:r>
      <w:r w:rsidR="004F6737" w:rsidRPr="00485A08">
        <w:rPr>
          <w:rFonts w:ascii="Times New Roman" w:hAnsi="Times New Roman" w:cs="Times New Roman"/>
          <w:sz w:val="20"/>
          <w:szCs w:val="20"/>
        </w:rPr>
        <w:t>,</w:t>
      </w:r>
      <w:r w:rsidRPr="00485A08">
        <w:rPr>
          <w:rFonts w:ascii="Times New Roman" w:hAnsi="Times New Roman" w:cs="Times New Roman"/>
          <w:sz w:val="20"/>
          <w:szCs w:val="20"/>
        </w:rPr>
        <w:t xml:space="preserve"> </w:t>
      </w:r>
      <w:r w:rsidR="004F6737" w:rsidRPr="00485A08">
        <w:rPr>
          <w:rFonts w:ascii="Times New Roman" w:hAnsi="Times New Roman" w:cs="Times New Roman"/>
          <w:sz w:val="20"/>
          <w:szCs w:val="20"/>
        </w:rPr>
        <w:t>Melbourne,</w:t>
      </w:r>
      <w:r w:rsidR="004A4A9F" w:rsidRPr="00485A08">
        <w:rPr>
          <w:rFonts w:ascii="Times New Roman" w:hAnsi="Times New Roman" w:cs="Times New Roman"/>
          <w:sz w:val="20"/>
          <w:szCs w:val="20"/>
        </w:rPr>
        <w:t xml:space="preserve"> </w:t>
      </w:r>
      <w:r w:rsidR="00703B6E">
        <w:rPr>
          <w:rFonts w:ascii="Times New Roman" w:hAnsi="Times New Roman" w:cs="Times New Roman"/>
          <w:sz w:val="20"/>
          <w:szCs w:val="20"/>
        </w:rPr>
        <w:t xml:space="preserve">30 April </w:t>
      </w:r>
      <w:r w:rsidR="004A4A9F" w:rsidRPr="00485A08">
        <w:rPr>
          <w:rFonts w:ascii="Times New Roman" w:hAnsi="Times New Roman" w:cs="Times New Roman"/>
          <w:sz w:val="20"/>
          <w:szCs w:val="20"/>
        </w:rPr>
        <w:t>2004,</w:t>
      </w:r>
      <w:r w:rsidR="004F6737" w:rsidRPr="00485A08">
        <w:rPr>
          <w:rFonts w:ascii="Times New Roman" w:hAnsi="Times New Roman" w:cs="Times New Roman"/>
          <w:sz w:val="20"/>
          <w:szCs w:val="20"/>
        </w:rPr>
        <w:t xml:space="preserve"> at</w:t>
      </w:r>
      <w:r w:rsidRPr="00485A08">
        <w:rPr>
          <w:rFonts w:ascii="Times New Roman" w:hAnsi="Times New Roman" w:cs="Times New Roman"/>
          <w:sz w:val="20"/>
          <w:szCs w:val="20"/>
        </w:rPr>
        <w:t xml:space="preserve"> 193</w:t>
      </w:r>
      <w:r w:rsidR="00FA4CB4" w:rsidRPr="00485A08">
        <w:rPr>
          <w:rFonts w:ascii="Times New Roman" w:hAnsi="Times New Roman" w:cs="Times New Roman"/>
          <w:sz w:val="20"/>
          <w:szCs w:val="20"/>
        </w:rPr>
        <w:t>–</w:t>
      </w:r>
      <w:r w:rsidRPr="00485A08">
        <w:rPr>
          <w:rFonts w:ascii="Times New Roman" w:hAnsi="Times New Roman" w:cs="Times New Roman"/>
          <w:sz w:val="20"/>
          <w:szCs w:val="20"/>
        </w:rPr>
        <w:t xml:space="preserve">4.  </w:t>
      </w:r>
    </w:p>
  </w:footnote>
  <w:footnote w:id="26">
    <w:p w14:paraId="320269F5" w14:textId="505F5086"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009D2E93" w:rsidRPr="00485A08">
        <w:rPr>
          <w:rFonts w:ascii="Times New Roman" w:hAnsi="Times New Roman" w:cs="Times New Roman"/>
        </w:rPr>
        <w:t xml:space="preserve"> </w:t>
      </w:r>
      <w:r w:rsidR="009D2E93" w:rsidRPr="00485A08">
        <w:rPr>
          <w:rFonts w:ascii="Times New Roman" w:hAnsi="Times New Roman" w:cs="Times New Roman"/>
          <w:i/>
          <w:iCs/>
        </w:rPr>
        <w:t>Convention on the Rights of Persons with Disabilities</w:t>
      </w:r>
      <w:r w:rsidR="002B5ABC">
        <w:rPr>
          <w:rFonts w:ascii="Times New Roman" w:hAnsi="Times New Roman" w:cs="Times New Roman"/>
        </w:rPr>
        <w:t>,</w:t>
      </w:r>
      <w:r w:rsidR="009D2E93" w:rsidRPr="00485A08">
        <w:rPr>
          <w:rFonts w:ascii="Times New Roman" w:hAnsi="Times New Roman" w:cs="Times New Roman"/>
          <w:i/>
          <w:iCs/>
        </w:rPr>
        <w:t xml:space="preserve"> </w:t>
      </w:r>
      <w:r w:rsidR="009D2E93" w:rsidRPr="00BC2B25">
        <w:rPr>
          <w:rFonts w:ascii="Times New Roman" w:hAnsi="Times New Roman" w:cs="Times New Roman"/>
        </w:rPr>
        <w:t>2008</w:t>
      </w:r>
      <w:r w:rsidR="004D22A3" w:rsidRPr="00485A08">
        <w:rPr>
          <w:rFonts w:ascii="Times New Roman" w:hAnsi="Times New Roman" w:cs="Times New Roman"/>
        </w:rPr>
        <w:t>,</w:t>
      </w:r>
      <w:r w:rsidR="009D2E93" w:rsidRPr="00485A08">
        <w:rPr>
          <w:rFonts w:ascii="Times New Roman" w:hAnsi="Times New Roman" w:cs="Times New Roman"/>
        </w:rPr>
        <w:t xml:space="preserve"> art</w:t>
      </w:r>
      <w:r w:rsidRPr="00485A08">
        <w:rPr>
          <w:rFonts w:ascii="Times New Roman" w:hAnsi="Times New Roman" w:cs="Times New Roman"/>
        </w:rPr>
        <w:t xml:space="preserve"> 27(1)(i)</w:t>
      </w:r>
      <w:r w:rsidR="002B5ABC">
        <w:rPr>
          <w:rFonts w:ascii="Times New Roman" w:hAnsi="Times New Roman" w:cs="Times New Roman"/>
        </w:rPr>
        <w:t xml:space="preserve"> </w:t>
      </w:r>
      <w:r w:rsidR="002B5ABC" w:rsidRPr="006D59D5">
        <w:rPr>
          <w:rFonts w:ascii="Times New Roman" w:hAnsi="Times New Roman" w:cs="Times New Roman"/>
        </w:rPr>
        <w:t>(</w:t>
      </w:r>
      <w:r w:rsidR="002B5ABC" w:rsidRPr="00485A08">
        <w:rPr>
          <w:rFonts w:ascii="Times New Roman" w:hAnsi="Times New Roman" w:cs="Times New Roman"/>
          <w:i/>
          <w:iCs/>
        </w:rPr>
        <w:t>CRPD</w:t>
      </w:r>
      <w:r w:rsidR="002B5ABC" w:rsidRPr="006D59D5">
        <w:rPr>
          <w:rFonts w:ascii="Times New Roman" w:hAnsi="Times New Roman" w:cs="Times New Roman"/>
        </w:rPr>
        <w:t>)</w:t>
      </w:r>
      <w:r w:rsidR="009D2E93" w:rsidRPr="00485A08">
        <w:rPr>
          <w:rFonts w:ascii="Times New Roman" w:hAnsi="Times New Roman" w:cs="Times New Roman"/>
        </w:rPr>
        <w:t>.</w:t>
      </w:r>
    </w:p>
  </w:footnote>
  <w:footnote w:id="27">
    <w:p w14:paraId="320269F6" w14:textId="73A117D7"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See</w:t>
      </w:r>
      <w:r w:rsidR="00D86868" w:rsidRPr="00485A08">
        <w:rPr>
          <w:rFonts w:ascii="Times New Roman" w:hAnsi="Times New Roman" w:cs="Times New Roman"/>
        </w:rPr>
        <w:t>,</w:t>
      </w:r>
      <w:r w:rsidRPr="00485A08">
        <w:rPr>
          <w:rFonts w:ascii="Times New Roman" w:hAnsi="Times New Roman" w:cs="Times New Roman"/>
        </w:rPr>
        <w:t xml:space="preserve"> eg, Equal Opportunity Act 2010 (Vic) (EO</w:t>
      </w:r>
      <w:r w:rsidR="008409BF" w:rsidRPr="00485A08">
        <w:rPr>
          <w:rFonts w:ascii="Times New Roman" w:hAnsi="Times New Roman" w:cs="Times New Roman"/>
        </w:rPr>
        <w:t xml:space="preserve"> </w:t>
      </w:r>
      <w:r w:rsidRPr="00485A08">
        <w:rPr>
          <w:rFonts w:ascii="Times New Roman" w:hAnsi="Times New Roman" w:cs="Times New Roman"/>
        </w:rPr>
        <w:t>A</w:t>
      </w:r>
      <w:r w:rsidR="008409BF" w:rsidRPr="00485A08">
        <w:rPr>
          <w:rFonts w:ascii="Times New Roman" w:hAnsi="Times New Roman" w:cs="Times New Roman"/>
        </w:rPr>
        <w:t>ct (Vic)</w:t>
      </w:r>
      <w:r w:rsidRPr="00485A08">
        <w:rPr>
          <w:rFonts w:ascii="Times New Roman" w:hAnsi="Times New Roman" w:cs="Times New Roman"/>
        </w:rPr>
        <w:t xml:space="preserve">) s 3(d)(iii); Discrimination Act 1991 </w:t>
      </w:r>
      <w:r w:rsidR="00107B02" w:rsidRPr="00485A08">
        <w:rPr>
          <w:rFonts w:ascii="Times New Roman" w:hAnsi="Times New Roman" w:cs="Times New Roman"/>
        </w:rPr>
        <w:t xml:space="preserve">(ACT) </w:t>
      </w:r>
      <w:r w:rsidRPr="00485A08">
        <w:rPr>
          <w:rFonts w:ascii="Times New Roman" w:hAnsi="Times New Roman" w:cs="Times New Roman"/>
        </w:rPr>
        <w:t>(</w:t>
      </w:r>
      <w:r w:rsidR="00AE7748" w:rsidRPr="00485A08">
        <w:rPr>
          <w:rFonts w:ascii="Times New Roman" w:hAnsi="Times New Roman" w:cs="Times New Roman"/>
        </w:rPr>
        <w:t>D</w:t>
      </w:r>
      <w:r w:rsidR="00B918E1" w:rsidRPr="00485A08">
        <w:rPr>
          <w:rFonts w:ascii="Times New Roman" w:hAnsi="Times New Roman" w:cs="Times New Roman"/>
        </w:rPr>
        <w:t xml:space="preserve"> </w:t>
      </w:r>
      <w:r w:rsidR="00AE7748" w:rsidRPr="00485A08">
        <w:rPr>
          <w:rFonts w:ascii="Times New Roman" w:hAnsi="Times New Roman" w:cs="Times New Roman"/>
        </w:rPr>
        <w:t>A</w:t>
      </w:r>
      <w:r w:rsidR="00B918E1" w:rsidRPr="00485A08">
        <w:rPr>
          <w:rFonts w:ascii="Times New Roman" w:hAnsi="Times New Roman" w:cs="Times New Roman"/>
        </w:rPr>
        <w:t>ct (ACT)</w:t>
      </w:r>
      <w:r w:rsidRPr="00485A08">
        <w:rPr>
          <w:rFonts w:ascii="Times New Roman" w:hAnsi="Times New Roman" w:cs="Times New Roman"/>
        </w:rPr>
        <w:t>) s 4(d)(iii).</w:t>
      </w:r>
    </w:p>
  </w:footnote>
  <w:footnote w:id="28">
    <w:p w14:paraId="320269F7" w14:textId="18A7F701" w:rsidR="00526B9C" w:rsidRPr="00485A08" w:rsidRDefault="00543F23" w:rsidP="00485A08">
      <w:pPr>
        <w:pStyle w:val="paragraph"/>
        <w:ind w:left="0" w:firstLine="0"/>
        <w:jc w:val="both"/>
        <w:rPr>
          <w:sz w:val="20"/>
        </w:rPr>
      </w:pPr>
      <w:r w:rsidRPr="00485A08">
        <w:rPr>
          <w:rStyle w:val="FootnoteReference"/>
          <w:sz w:val="20"/>
        </w:rPr>
        <w:footnoteRef/>
      </w:r>
      <w:r w:rsidRPr="00485A08">
        <w:rPr>
          <w:sz w:val="20"/>
        </w:rPr>
        <w:t xml:space="preserve"> See</w:t>
      </w:r>
      <w:r w:rsidR="00D86868" w:rsidRPr="00485A08">
        <w:rPr>
          <w:sz w:val="20"/>
        </w:rPr>
        <w:t>,</w:t>
      </w:r>
      <w:r w:rsidRPr="00485A08">
        <w:rPr>
          <w:sz w:val="20"/>
        </w:rPr>
        <w:t xml:space="preserve"> eg, D</w:t>
      </w:r>
      <w:r w:rsidR="00D545F1" w:rsidRPr="00485A08">
        <w:rPr>
          <w:sz w:val="20"/>
        </w:rPr>
        <w:t xml:space="preserve">isability Discrimination Act </w:t>
      </w:r>
      <w:r w:rsidR="008409BF" w:rsidRPr="00485A08">
        <w:rPr>
          <w:sz w:val="20"/>
        </w:rPr>
        <w:t>1992 (</w:t>
      </w:r>
      <w:proofErr w:type="spellStart"/>
      <w:r w:rsidR="008409BF" w:rsidRPr="00485A08">
        <w:rPr>
          <w:sz w:val="20"/>
        </w:rPr>
        <w:t>Cth</w:t>
      </w:r>
      <w:proofErr w:type="spellEnd"/>
      <w:r w:rsidR="008409BF" w:rsidRPr="00485A08">
        <w:rPr>
          <w:sz w:val="20"/>
        </w:rPr>
        <w:t xml:space="preserve">) </w:t>
      </w:r>
      <w:r w:rsidR="00D545F1" w:rsidRPr="00485A08">
        <w:rPr>
          <w:sz w:val="20"/>
        </w:rPr>
        <w:t>(DDA)</w:t>
      </w:r>
      <w:r w:rsidRPr="00485A08">
        <w:rPr>
          <w:sz w:val="20"/>
        </w:rPr>
        <w:t xml:space="preserve"> s</w:t>
      </w:r>
      <w:r w:rsidR="006C5B2F">
        <w:rPr>
          <w:sz w:val="20"/>
        </w:rPr>
        <w:t>s</w:t>
      </w:r>
      <w:r w:rsidRPr="00485A08">
        <w:rPr>
          <w:sz w:val="20"/>
        </w:rPr>
        <w:t xml:space="preserve"> 5(2), 6(2), 21A(1); EO</w:t>
      </w:r>
      <w:r w:rsidR="008409BF" w:rsidRPr="00485A08">
        <w:rPr>
          <w:sz w:val="20"/>
        </w:rPr>
        <w:t xml:space="preserve"> </w:t>
      </w:r>
      <w:r w:rsidRPr="00485A08">
        <w:rPr>
          <w:sz w:val="20"/>
        </w:rPr>
        <w:t>A</w:t>
      </w:r>
      <w:r w:rsidR="008409BF" w:rsidRPr="00485A08">
        <w:rPr>
          <w:sz w:val="20"/>
        </w:rPr>
        <w:t>ct</w:t>
      </w:r>
      <w:r w:rsidR="00390216">
        <w:rPr>
          <w:sz w:val="20"/>
        </w:rPr>
        <w:t xml:space="preserve"> (Vic)</w:t>
      </w:r>
      <w:r w:rsidRPr="00485A08">
        <w:rPr>
          <w:sz w:val="20"/>
        </w:rPr>
        <w:t xml:space="preserve"> s</w:t>
      </w:r>
      <w:r w:rsidR="00A132DA" w:rsidRPr="00485A08">
        <w:rPr>
          <w:sz w:val="20"/>
        </w:rPr>
        <w:t>s</w:t>
      </w:r>
      <w:r w:rsidRPr="00485A08">
        <w:rPr>
          <w:sz w:val="20"/>
        </w:rPr>
        <w:t xml:space="preserve"> 20,</w:t>
      </w:r>
      <w:r w:rsidR="006B60D6" w:rsidRPr="00485A08">
        <w:rPr>
          <w:sz w:val="20"/>
        </w:rPr>
        <w:t xml:space="preserve"> </w:t>
      </w:r>
      <w:r w:rsidRPr="00485A08">
        <w:rPr>
          <w:sz w:val="20"/>
        </w:rPr>
        <w:t>23; Anti-Discrimination Act 1977 (NSW) (AD</w:t>
      </w:r>
      <w:r w:rsidR="008409BF" w:rsidRPr="00485A08">
        <w:rPr>
          <w:sz w:val="20"/>
        </w:rPr>
        <w:t xml:space="preserve"> </w:t>
      </w:r>
      <w:r w:rsidRPr="00485A08">
        <w:rPr>
          <w:sz w:val="20"/>
        </w:rPr>
        <w:t>A</w:t>
      </w:r>
      <w:r w:rsidR="008409BF" w:rsidRPr="00485A08">
        <w:rPr>
          <w:sz w:val="20"/>
        </w:rPr>
        <w:t>ct (NSW)</w:t>
      </w:r>
      <w:r w:rsidRPr="00485A08">
        <w:rPr>
          <w:sz w:val="20"/>
        </w:rPr>
        <w:t>) s 49D(4)(b); Anti-Discrimination Act 1992 (NT) (AD</w:t>
      </w:r>
      <w:r w:rsidR="00D569F2" w:rsidRPr="00485A08">
        <w:rPr>
          <w:sz w:val="20"/>
        </w:rPr>
        <w:t xml:space="preserve"> </w:t>
      </w:r>
      <w:r w:rsidRPr="00485A08">
        <w:rPr>
          <w:sz w:val="20"/>
        </w:rPr>
        <w:t>A</w:t>
      </w:r>
      <w:r w:rsidR="00D569F2" w:rsidRPr="00485A08">
        <w:rPr>
          <w:sz w:val="20"/>
        </w:rPr>
        <w:t>ct</w:t>
      </w:r>
      <w:r w:rsidRPr="00485A08">
        <w:rPr>
          <w:sz w:val="20"/>
        </w:rPr>
        <w:t xml:space="preserve"> (NT)) s 35(1)(b)(ii); Equal Opportunity Act 1984 (WA)</w:t>
      </w:r>
      <w:r w:rsidR="008409BF" w:rsidRPr="00485A08">
        <w:rPr>
          <w:sz w:val="20"/>
        </w:rPr>
        <w:t xml:space="preserve"> (EO Act (WA))</w:t>
      </w:r>
      <w:r w:rsidRPr="00485A08">
        <w:rPr>
          <w:sz w:val="20"/>
        </w:rPr>
        <w:t xml:space="preserve"> s 66Q(1)(b); Anti-Discrimination Act 1998 (Tas) (AD</w:t>
      </w:r>
      <w:r w:rsidR="008409BF" w:rsidRPr="00485A08">
        <w:rPr>
          <w:sz w:val="20"/>
        </w:rPr>
        <w:t xml:space="preserve"> </w:t>
      </w:r>
      <w:r w:rsidRPr="00485A08">
        <w:rPr>
          <w:sz w:val="20"/>
        </w:rPr>
        <w:t>A</w:t>
      </w:r>
      <w:r w:rsidR="008409BF" w:rsidRPr="00485A08">
        <w:rPr>
          <w:sz w:val="20"/>
        </w:rPr>
        <w:t>ct</w:t>
      </w:r>
      <w:r w:rsidRPr="00485A08">
        <w:rPr>
          <w:sz w:val="20"/>
        </w:rPr>
        <w:t xml:space="preserve"> (Tas)) s 45. </w:t>
      </w:r>
    </w:p>
  </w:footnote>
  <w:footnote w:id="29">
    <w:p w14:paraId="320269F8" w14:textId="7EBB9882"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See</w:t>
      </w:r>
      <w:r w:rsidR="00D86868" w:rsidRPr="00485A08">
        <w:rPr>
          <w:rFonts w:ascii="Times New Roman" w:hAnsi="Times New Roman" w:cs="Times New Roman"/>
        </w:rPr>
        <w:t>,</w:t>
      </w:r>
      <w:r w:rsidRPr="00485A08">
        <w:rPr>
          <w:rFonts w:ascii="Times New Roman" w:hAnsi="Times New Roman" w:cs="Times New Roman"/>
        </w:rPr>
        <w:t xml:space="preserve"> eg, EO</w:t>
      </w:r>
      <w:r w:rsidR="000C3BFF" w:rsidRPr="00485A08">
        <w:rPr>
          <w:rFonts w:ascii="Times New Roman" w:hAnsi="Times New Roman" w:cs="Times New Roman"/>
        </w:rPr>
        <w:t xml:space="preserve"> </w:t>
      </w:r>
      <w:r w:rsidRPr="00485A08">
        <w:rPr>
          <w:rFonts w:ascii="Times New Roman" w:hAnsi="Times New Roman" w:cs="Times New Roman"/>
        </w:rPr>
        <w:t>A</w:t>
      </w:r>
      <w:r w:rsidR="000C3BFF" w:rsidRPr="00485A08">
        <w:rPr>
          <w:rFonts w:ascii="Times New Roman" w:hAnsi="Times New Roman" w:cs="Times New Roman"/>
        </w:rPr>
        <w:t>ct</w:t>
      </w:r>
      <w:r w:rsidRPr="00485A08">
        <w:rPr>
          <w:rFonts w:ascii="Times New Roman" w:hAnsi="Times New Roman" w:cs="Times New Roman"/>
        </w:rPr>
        <w:t xml:space="preserve"> (Vic) s 17,</w:t>
      </w:r>
      <w:r w:rsidR="00A132DA" w:rsidRPr="00485A08">
        <w:rPr>
          <w:rFonts w:ascii="Times New Roman" w:hAnsi="Times New Roman" w:cs="Times New Roman"/>
        </w:rPr>
        <w:t xml:space="preserve"> </w:t>
      </w:r>
      <w:r w:rsidRPr="00485A08">
        <w:rPr>
          <w:rFonts w:ascii="Times New Roman" w:hAnsi="Times New Roman" w:cs="Times New Roman"/>
        </w:rPr>
        <w:t>19</w:t>
      </w:r>
      <w:r w:rsidR="00507D2F" w:rsidRPr="00507D2F">
        <w:rPr>
          <w:rFonts w:ascii="Times New Roman" w:hAnsi="Times New Roman" w:cs="Times New Roman"/>
          <w:bCs/>
          <w:lang w:val="en"/>
        </w:rPr>
        <w:t>–</w:t>
      </w:r>
      <w:r w:rsidRPr="00485A08">
        <w:rPr>
          <w:rFonts w:ascii="Times New Roman" w:hAnsi="Times New Roman" w:cs="Times New Roman"/>
        </w:rPr>
        <w:t>20, 22,</w:t>
      </w:r>
      <w:r w:rsidR="00A132DA" w:rsidRPr="00485A08">
        <w:rPr>
          <w:rFonts w:ascii="Times New Roman" w:hAnsi="Times New Roman" w:cs="Times New Roman"/>
        </w:rPr>
        <w:t xml:space="preserve"> </w:t>
      </w:r>
      <w:r w:rsidRPr="00485A08">
        <w:rPr>
          <w:rFonts w:ascii="Times New Roman" w:hAnsi="Times New Roman" w:cs="Times New Roman"/>
        </w:rPr>
        <w:t>32; AD</w:t>
      </w:r>
      <w:r w:rsidR="00D569F2" w:rsidRPr="00485A08">
        <w:rPr>
          <w:rFonts w:ascii="Times New Roman" w:hAnsi="Times New Roman" w:cs="Times New Roman"/>
        </w:rPr>
        <w:t xml:space="preserve"> </w:t>
      </w:r>
      <w:r w:rsidRPr="00485A08">
        <w:rPr>
          <w:rFonts w:ascii="Times New Roman" w:hAnsi="Times New Roman" w:cs="Times New Roman"/>
        </w:rPr>
        <w:t>A</w:t>
      </w:r>
      <w:r w:rsidR="00D569F2" w:rsidRPr="00485A08">
        <w:rPr>
          <w:rFonts w:ascii="Times New Roman" w:hAnsi="Times New Roman" w:cs="Times New Roman"/>
        </w:rPr>
        <w:t>ct</w:t>
      </w:r>
      <w:r w:rsidRPr="00485A08">
        <w:rPr>
          <w:rFonts w:ascii="Times New Roman" w:hAnsi="Times New Roman" w:cs="Times New Roman"/>
        </w:rPr>
        <w:t xml:space="preserve"> (Tas) s 28; AD</w:t>
      </w:r>
      <w:r w:rsidR="00D569F2" w:rsidRPr="00485A08">
        <w:rPr>
          <w:rFonts w:ascii="Times New Roman" w:hAnsi="Times New Roman" w:cs="Times New Roman"/>
        </w:rPr>
        <w:t xml:space="preserve"> Act </w:t>
      </w:r>
      <w:r w:rsidRPr="00485A08">
        <w:rPr>
          <w:rFonts w:ascii="Times New Roman" w:hAnsi="Times New Roman" w:cs="Times New Roman"/>
        </w:rPr>
        <w:t>(NT) s</w:t>
      </w:r>
      <w:r w:rsidR="006B60D6" w:rsidRPr="00485A08">
        <w:rPr>
          <w:rFonts w:ascii="Times New Roman" w:hAnsi="Times New Roman" w:cs="Times New Roman"/>
        </w:rPr>
        <w:t>s</w:t>
      </w:r>
      <w:r w:rsidRPr="00485A08">
        <w:rPr>
          <w:rFonts w:ascii="Times New Roman" w:hAnsi="Times New Roman" w:cs="Times New Roman"/>
        </w:rPr>
        <w:t xml:space="preserve"> 24, 58 (where an obligation to accommodate applies in relation to all protected attributes).  </w:t>
      </w:r>
    </w:p>
  </w:footnote>
  <w:footnote w:id="30">
    <w:p w14:paraId="320269F9" w14:textId="1C95C127"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Rice and Roles, above n 8, </w:t>
      </w:r>
      <w:r w:rsidR="00C61AED" w:rsidRPr="00485A08">
        <w:rPr>
          <w:rFonts w:ascii="Times New Roman" w:hAnsi="Times New Roman" w:cs="Times New Roman"/>
        </w:rPr>
        <w:t xml:space="preserve">at </w:t>
      </w:r>
      <w:r w:rsidRPr="00485A08">
        <w:rPr>
          <w:rFonts w:ascii="Times New Roman" w:hAnsi="Times New Roman" w:cs="Times New Roman"/>
        </w:rPr>
        <w:t>29.</w:t>
      </w:r>
    </w:p>
  </w:footnote>
  <w:footnote w:id="31">
    <w:p w14:paraId="320269FA" w14:textId="3EF255AE"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An ‘inherent requirements’ exemption is one location through which a reasonable accommodation</w:t>
      </w:r>
      <w:r w:rsidR="00BA005D" w:rsidRPr="00485A08">
        <w:rPr>
          <w:rFonts w:ascii="Times New Roman" w:hAnsi="Times New Roman" w:cs="Times New Roman"/>
        </w:rPr>
        <w:t xml:space="preserve"> </w:t>
      </w:r>
      <w:r w:rsidRPr="00485A08">
        <w:rPr>
          <w:rFonts w:ascii="Times New Roman" w:hAnsi="Times New Roman" w:cs="Times New Roman"/>
        </w:rPr>
        <w:t xml:space="preserve">requirement is expressed in equality and discrimination legislation: </w:t>
      </w:r>
      <w:r w:rsidR="00D86868" w:rsidRPr="00485A08">
        <w:rPr>
          <w:rFonts w:ascii="Times New Roman" w:hAnsi="Times New Roman" w:cs="Times New Roman"/>
        </w:rPr>
        <w:t>s</w:t>
      </w:r>
      <w:r w:rsidRPr="00485A08">
        <w:rPr>
          <w:rFonts w:ascii="Times New Roman" w:hAnsi="Times New Roman" w:cs="Times New Roman"/>
        </w:rPr>
        <w:t>ee</w:t>
      </w:r>
      <w:r w:rsidR="00D86868" w:rsidRPr="00485A08">
        <w:rPr>
          <w:rFonts w:ascii="Times New Roman" w:hAnsi="Times New Roman" w:cs="Times New Roman"/>
        </w:rPr>
        <w:t>,</w:t>
      </w:r>
      <w:r w:rsidRPr="00485A08">
        <w:rPr>
          <w:rFonts w:ascii="Times New Roman" w:hAnsi="Times New Roman" w:cs="Times New Roman"/>
        </w:rPr>
        <w:t xml:space="preserve"> eg, DDA s 21</w:t>
      </w:r>
      <w:proofErr w:type="gramStart"/>
      <w:r w:rsidRPr="00485A08">
        <w:rPr>
          <w:rFonts w:ascii="Times New Roman" w:hAnsi="Times New Roman" w:cs="Times New Roman"/>
        </w:rPr>
        <w:t>A(</w:t>
      </w:r>
      <w:proofErr w:type="gramEnd"/>
      <w:r w:rsidRPr="00485A08">
        <w:rPr>
          <w:rFonts w:ascii="Times New Roman" w:hAnsi="Times New Roman" w:cs="Times New Roman"/>
        </w:rPr>
        <w:t>1); EO</w:t>
      </w:r>
      <w:r w:rsidR="00D569F2" w:rsidRPr="00485A08">
        <w:rPr>
          <w:rFonts w:ascii="Times New Roman" w:hAnsi="Times New Roman" w:cs="Times New Roman"/>
        </w:rPr>
        <w:t xml:space="preserve"> </w:t>
      </w:r>
      <w:r w:rsidRPr="00485A08">
        <w:rPr>
          <w:rFonts w:ascii="Times New Roman" w:hAnsi="Times New Roman" w:cs="Times New Roman"/>
        </w:rPr>
        <w:t>A</w:t>
      </w:r>
      <w:r w:rsidR="00D569F2" w:rsidRPr="00485A08">
        <w:rPr>
          <w:rFonts w:ascii="Times New Roman" w:hAnsi="Times New Roman" w:cs="Times New Roman"/>
        </w:rPr>
        <w:t>ct</w:t>
      </w:r>
      <w:r w:rsidRPr="00485A08">
        <w:rPr>
          <w:rFonts w:ascii="Times New Roman" w:hAnsi="Times New Roman" w:cs="Times New Roman"/>
        </w:rPr>
        <w:t xml:space="preserve"> (Vic) s 23; AD</w:t>
      </w:r>
      <w:r w:rsidR="00D569F2" w:rsidRPr="00485A08">
        <w:rPr>
          <w:rFonts w:ascii="Times New Roman" w:hAnsi="Times New Roman" w:cs="Times New Roman"/>
        </w:rPr>
        <w:t xml:space="preserve"> </w:t>
      </w:r>
      <w:r w:rsidRPr="00485A08">
        <w:rPr>
          <w:rFonts w:ascii="Times New Roman" w:hAnsi="Times New Roman" w:cs="Times New Roman"/>
        </w:rPr>
        <w:t>A</w:t>
      </w:r>
      <w:r w:rsidR="00D569F2" w:rsidRPr="00485A08">
        <w:rPr>
          <w:rFonts w:ascii="Times New Roman" w:hAnsi="Times New Roman" w:cs="Times New Roman"/>
        </w:rPr>
        <w:t>ct</w:t>
      </w:r>
      <w:r w:rsidRPr="00485A08">
        <w:rPr>
          <w:rFonts w:ascii="Times New Roman" w:hAnsi="Times New Roman" w:cs="Times New Roman"/>
        </w:rPr>
        <w:t xml:space="preserve"> (NSW) s 49D(4)(b). </w:t>
      </w:r>
    </w:p>
  </w:footnote>
  <w:footnote w:id="32">
    <w:p w14:paraId="320269FB" w14:textId="4D5AF356" w:rsidR="00526B9C" w:rsidRPr="00485A08" w:rsidRDefault="00543F23" w:rsidP="00485A08">
      <w:pPr>
        <w:pStyle w:val="FootnoteText"/>
        <w:jc w:val="both"/>
        <w:rPr>
          <w:rFonts w:ascii="Times New Roman" w:hAnsi="Times New Roman" w:cs="Times New Roman"/>
          <w:lang w:eastAsia="ko-KR"/>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bookmarkStart w:id="2" w:name="_Hlk24202098"/>
      <w:r w:rsidRPr="00485A08">
        <w:rPr>
          <w:rFonts w:ascii="Times New Roman" w:hAnsi="Times New Roman" w:cs="Times New Roman"/>
          <w:i/>
        </w:rPr>
        <w:t>Hodkinson</w:t>
      </w:r>
      <w:bookmarkEnd w:id="2"/>
      <w:r w:rsidR="003E2F78" w:rsidRPr="00485A08">
        <w:rPr>
          <w:rFonts w:ascii="Times New Roman" w:hAnsi="Times New Roman" w:cs="Times New Roman"/>
          <w:lang w:val="en"/>
        </w:rPr>
        <w:t>, above n 19</w:t>
      </w:r>
      <w:r w:rsidRPr="00485A08">
        <w:rPr>
          <w:rFonts w:ascii="Times New Roman" w:hAnsi="Times New Roman" w:cs="Times New Roman"/>
        </w:rPr>
        <w:t xml:space="preserve">; </w:t>
      </w:r>
      <w:proofErr w:type="spellStart"/>
      <w:r w:rsidRPr="00485A08">
        <w:rPr>
          <w:rFonts w:ascii="Times New Roman" w:hAnsi="Times New Roman" w:cs="Times New Roman"/>
          <w:i/>
        </w:rPr>
        <w:t>Kubat</w:t>
      </w:r>
      <w:proofErr w:type="spellEnd"/>
      <w:r w:rsidR="009928B3" w:rsidRPr="00485A08">
        <w:rPr>
          <w:rFonts w:ascii="Times New Roman" w:hAnsi="Times New Roman" w:cs="Times New Roman"/>
          <w:i/>
        </w:rPr>
        <w:t xml:space="preserve"> v No</w:t>
      </w:r>
      <w:r w:rsidR="00827BDE" w:rsidRPr="00485A08">
        <w:rPr>
          <w:rFonts w:ascii="Times New Roman" w:hAnsi="Times New Roman" w:cs="Times New Roman"/>
          <w:i/>
        </w:rPr>
        <w:t>r</w:t>
      </w:r>
      <w:r w:rsidR="009928B3" w:rsidRPr="00485A08">
        <w:rPr>
          <w:rFonts w:ascii="Times New Roman" w:hAnsi="Times New Roman" w:cs="Times New Roman"/>
          <w:i/>
        </w:rPr>
        <w:t>thern Health</w:t>
      </w:r>
      <w:r w:rsidR="00B918E1" w:rsidRPr="00485A08">
        <w:rPr>
          <w:rFonts w:ascii="Times New Roman" w:hAnsi="Times New Roman" w:cs="Times New Roman"/>
          <w:i/>
        </w:rPr>
        <w:t xml:space="preserve"> </w:t>
      </w:r>
      <w:r w:rsidR="00B918E1" w:rsidRPr="00485A08">
        <w:rPr>
          <w:rFonts w:ascii="Times New Roman" w:hAnsi="Times New Roman" w:cs="Times New Roman"/>
          <w:iCs/>
        </w:rPr>
        <w:t>(2015) 255 IR 70</w:t>
      </w:r>
      <w:r w:rsidR="00683FD4" w:rsidRPr="00485A08">
        <w:rPr>
          <w:rFonts w:ascii="Times New Roman" w:hAnsi="Times New Roman" w:cs="Times New Roman"/>
          <w:iCs/>
        </w:rPr>
        <w:t>; [2015] FCCA 3050</w:t>
      </w:r>
      <w:r w:rsidR="0017769E" w:rsidRPr="00485A08">
        <w:rPr>
          <w:rFonts w:ascii="Times New Roman" w:hAnsi="Times New Roman" w:cs="Times New Roman"/>
          <w:iCs/>
        </w:rPr>
        <w:t xml:space="preserve"> </w:t>
      </w:r>
      <w:r w:rsidR="009928B3" w:rsidRPr="00485A08">
        <w:rPr>
          <w:rFonts w:ascii="Times New Roman" w:hAnsi="Times New Roman" w:cs="Times New Roman"/>
          <w:i/>
        </w:rPr>
        <w:t>(</w:t>
      </w:r>
      <w:proofErr w:type="spellStart"/>
      <w:r w:rsidR="009928B3" w:rsidRPr="00485A08">
        <w:rPr>
          <w:rFonts w:ascii="Times New Roman" w:hAnsi="Times New Roman" w:cs="Times New Roman"/>
          <w:i/>
        </w:rPr>
        <w:t>Kubat</w:t>
      </w:r>
      <w:proofErr w:type="spellEnd"/>
      <w:r w:rsidR="00253015" w:rsidRPr="00485A08">
        <w:rPr>
          <w:rFonts w:ascii="Times New Roman" w:hAnsi="Times New Roman" w:cs="Times New Roman"/>
          <w:i/>
        </w:rPr>
        <w:t>)</w:t>
      </w:r>
      <w:r w:rsidRPr="00485A08">
        <w:rPr>
          <w:rFonts w:ascii="Times New Roman" w:hAnsi="Times New Roman" w:cs="Times New Roman"/>
        </w:rPr>
        <w:t xml:space="preserve">; </w:t>
      </w:r>
      <w:proofErr w:type="spellStart"/>
      <w:r w:rsidRPr="00485A08">
        <w:rPr>
          <w:rFonts w:ascii="Times New Roman" w:hAnsi="Times New Roman" w:cs="Times New Roman"/>
          <w:i/>
        </w:rPr>
        <w:t>Mikulic</w:t>
      </w:r>
      <w:proofErr w:type="spellEnd"/>
      <w:r w:rsidRPr="00485A08">
        <w:rPr>
          <w:rFonts w:ascii="Times New Roman" w:hAnsi="Times New Roman" w:cs="Times New Roman"/>
          <w:i/>
        </w:rPr>
        <w:t xml:space="preserve"> v Ecolab Pty Ltd</w:t>
      </w:r>
      <w:r w:rsidRPr="00485A08">
        <w:rPr>
          <w:rFonts w:ascii="Times New Roman" w:hAnsi="Times New Roman" w:cs="Times New Roman"/>
        </w:rPr>
        <w:t xml:space="preserve"> [2017] FCCA 146 </w:t>
      </w:r>
      <w:r w:rsidR="00B918E1" w:rsidRPr="00485A08">
        <w:rPr>
          <w:rFonts w:ascii="Times New Roman" w:hAnsi="Times New Roman" w:cs="Times New Roman"/>
        </w:rPr>
        <w:t xml:space="preserve">(1 February 2017) </w:t>
      </w:r>
      <w:r w:rsidRPr="00485A08">
        <w:rPr>
          <w:rFonts w:ascii="Times New Roman" w:hAnsi="Times New Roman" w:cs="Times New Roman"/>
        </w:rPr>
        <w:t>(</w:t>
      </w:r>
      <w:proofErr w:type="spellStart"/>
      <w:r w:rsidRPr="00485A08">
        <w:rPr>
          <w:rFonts w:ascii="Times New Roman" w:hAnsi="Times New Roman" w:cs="Times New Roman"/>
          <w:i/>
        </w:rPr>
        <w:t>Mikulic</w:t>
      </w:r>
      <w:proofErr w:type="spellEnd"/>
      <w:r w:rsidRPr="00485A08">
        <w:rPr>
          <w:rFonts w:ascii="Times New Roman" w:hAnsi="Times New Roman" w:cs="Times New Roman"/>
        </w:rPr>
        <w:t xml:space="preserve">); </w:t>
      </w:r>
      <w:r w:rsidRPr="00485A08">
        <w:rPr>
          <w:rFonts w:ascii="Times New Roman" w:hAnsi="Times New Roman" w:cs="Times New Roman"/>
          <w:i/>
        </w:rPr>
        <w:t>Edgar v Norton Rose Fulbright Australia Services</w:t>
      </w:r>
      <w:r w:rsidRPr="00485A08">
        <w:rPr>
          <w:rFonts w:ascii="Times New Roman" w:hAnsi="Times New Roman" w:cs="Times New Roman"/>
        </w:rPr>
        <w:t xml:space="preserve"> [2019] FCCA 1869 </w:t>
      </w:r>
      <w:r w:rsidR="00B918E1" w:rsidRPr="00485A08">
        <w:rPr>
          <w:rFonts w:ascii="Times New Roman" w:hAnsi="Times New Roman" w:cs="Times New Roman"/>
        </w:rPr>
        <w:t xml:space="preserve">(5 July 2019) </w:t>
      </w:r>
      <w:r w:rsidRPr="00485A08">
        <w:rPr>
          <w:rFonts w:ascii="Times New Roman" w:hAnsi="Times New Roman" w:cs="Times New Roman"/>
        </w:rPr>
        <w:t>(</w:t>
      </w:r>
      <w:r w:rsidRPr="00485A08">
        <w:rPr>
          <w:rFonts w:ascii="Times New Roman" w:hAnsi="Times New Roman" w:cs="Times New Roman"/>
          <w:i/>
        </w:rPr>
        <w:t>Edgar</w:t>
      </w:r>
      <w:r w:rsidRPr="00485A08">
        <w:rPr>
          <w:rFonts w:ascii="Times New Roman" w:hAnsi="Times New Roman" w:cs="Times New Roman"/>
        </w:rPr>
        <w:t>).</w:t>
      </w:r>
    </w:p>
  </w:footnote>
  <w:footnote w:id="33">
    <w:p w14:paraId="320269FC" w14:textId="03696FC4"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Pr="00485A08">
        <w:rPr>
          <w:rFonts w:ascii="Times New Roman" w:hAnsi="Times New Roman" w:cs="Times New Roman"/>
          <w:i/>
        </w:rPr>
        <w:t>Hodkinson</w:t>
      </w:r>
      <w:r w:rsidR="00BA3362" w:rsidRPr="00485A08">
        <w:rPr>
          <w:rFonts w:ascii="Times New Roman" w:hAnsi="Times New Roman" w:cs="Times New Roman"/>
          <w:iCs/>
        </w:rPr>
        <w:t>, above n 19, at</w:t>
      </w:r>
      <w:r w:rsidRPr="00485A08">
        <w:rPr>
          <w:rFonts w:ascii="Times New Roman" w:hAnsi="Times New Roman" w:cs="Times New Roman"/>
        </w:rPr>
        <w:t xml:space="preserve"> [187]; </w:t>
      </w:r>
      <w:proofErr w:type="spellStart"/>
      <w:r w:rsidRPr="00485A08">
        <w:rPr>
          <w:rFonts w:ascii="Times New Roman" w:hAnsi="Times New Roman" w:cs="Times New Roman"/>
          <w:i/>
        </w:rPr>
        <w:t>Kubat</w:t>
      </w:r>
      <w:proofErr w:type="spellEnd"/>
      <w:r w:rsidR="00BA3362" w:rsidRPr="00485A08">
        <w:rPr>
          <w:rFonts w:ascii="Times New Roman" w:hAnsi="Times New Roman" w:cs="Times New Roman"/>
          <w:iCs/>
        </w:rPr>
        <w:t>, above n 32, at</w:t>
      </w:r>
      <w:r w:rsidRPr="00485A08">
        <w:rPr>
          <w:rFonts w:ascii="Times New Roman" w:hAnsi="Times New Roman" w:cs="Times New Roman"/>
          <w:i/>
        </w:rPr>
        <w:t xml:space="preserve"> </w:t>
      </w:r>
      <w:r w:rsidRPr="00485A08">
        <w:rPr>
          <w:rFonts w:ascii="Times New Roman" w:hAnsi="Times New Roman" w:cs="Times New Roman"/>
        </w:rPr>
        <w:t xml:space="preserve">[73]; </w:t>
      </w:r>
      <w:proofErr w:type="spellStart"/>
      <w:r w:rsidRPr="00485A08">
        <w:rPr>
          <w:rFonts w:ascii="Times New Roman" w:hAnsi="Times New Roman" w:cs="Times New Roman"/>
          <w:i/>
        </w:rPr>
        <w:t>Mikulic</w:t>
      </w:r>
      <w:proofErr w:type="spellEnd"/>
      <w:r w:rsidR="00BA3362" w:rsidRPr="00485A08">
        <w:rPr>
          <w:rFonts w:ascii="Times New Roman" w:hAnsi="Times New Roman" w:cs="Times New Roman"/>
          <w:iCs/>
        </w:rPr>
        <w:t>, above n 32, at</w:t>
      </w:r>
      <w:r w:rsidRPr="00485A08">
        <w:rPr>
          <w:rFonts w:ascii="Times New Roman" w:hAnsi="Times New Roman" w:cs="Times New Roman"/>
        </w:rPr>
        <w:t xml:space="preserve"> [230]; </w:t>
      </w:r>
      <w:r w:rsidRPr="00485A08">
        <w:rPr>
          <w:rFonts w:ascii="Times New Roman" w:hAnsi="Times New Roman" w:cs="Times New Roman"/>
          <w:i/>
        </w:rPr>
        <w:t>Edgar</w:t>
      </w:r>
      <w:r w:rsidR="00BA3362" w:rsidRPr="00485A08">
        <w:rPr>
          <w:rFonts w:ascii="Times New Roman" w:hAnsi="Times New Roman" w:cs="Times New Roman"/>
          <w:iCs/>
        </w:rPr>
        <w:t>, above n 32,</w:t>
      </w:r>
      <w:r w:rsidRPr="00485A08">
        <w:rPr>
          <w:rFonts w:ascii="Times New Roman" w:hAnsi="Times New Roman" w:cs="Times New Roman"/>
        </w:rPr>
        <w:t xml:space="preserve"> </w:t>
      </w:r>
      <w:r w:rsidR="009360EA" w:rsidRPr="00485A08">
        <w:rPr>
          <w:rFonts w:ascii="Times New Roman" w:hAnsi="Times New Roman" w:cs="Times New Roman"/>
        </w:rPr>
        <w:t xml:space="preserve">at </w:t>
      </w:r>
      <w:r w:rsidRPr="00485A08">
        <w:rPr>
          <w:rFonts w:ascii="Times New Roman" w:hAnsi="Times New Roman" w:cs="Times New Roman"/>
        </w:rPr>
        <w:t>[66].</w:t>
      </w:r>
    </w:p>
  </w:footnote>
  <w:footnote w:id="34">
    <w:p w14:paraId="320269FD" w14:textId="5EDBA75A"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Pr="00485A08">
        <w:rPr>
          <w:rFonts w:ascii="Times New Roman" w:hAnsi="Times New Roman" w:cs="Times New Roman"/>
          <w:i/>
        </w:rPr>
        <w:t>Hodkinson</w:t>
      </w:r>
      <w:r w:rsidR="006F771F" w:rsidRPr="00485A08">
        <w:rPr>
          <w:rFonts w:ascii="Times New Roman" w:hAnsi="Times New Roman" w:cs="Times New Roman"/>
          <w:i/>
        </w:rPr>
        <w:t xml:space="preserve">, </w:t>
      </w:r>
      <w:r w:rsidR="006F771F" w:rsidRPr="00485A08">
        <w:rPr>
          <w:rFonts w:ascii="Times New Roman" w:hAnsi="Times New Roman" w:cs="Times New Roman"/>
          <w:iCs/>
        </w:rPr>
        <w:t>above n 19,</w:t>
      </w:r>
      <w:r w:rsidR="00D41351" w:rsidRPr="00485A08">
        <w:rPr>
          <w:rFonts w:ascii="Times New Roman" w:hAnsi="Times New Roman" w:cs="Times New Roman"/>
          <w:iCs/>
        </w:rPr>
        <w:t xml:space="preserve"> at</w:t>
      </w:r>
      <w:r w:rsidRPr="00485A08">
        <w:rPr>
          <w:rFonts w:ascii="Times New Roman" w:hAnsi="Times New Roman" w:cs="Times New Roman"/>
          <w:i/>
        </w:rPr>
        <w:t xml:space="preserve"> </w:t>
      </w:r>
      <w:r w:rsidRPr="00485A08">
        <w:rPr>
          <w:rFonts w:ascii="Times New Roman" w:hAnsi="Times New Roman" w:cs="Times New Roman"/>
        </w:rPr>
        <w:t xml:space="preserve">[187]; </w:t>
      </w:r>
      <w:proofErr w:type="spellStart"/>
      <w:r w:rsidRPr="00485A08">
        <w:rPr>
          <w:rFonts w:ascii="Times New Roman" w:hAnsi="Times New Roman" w:cs="Times New Roman"/>
          <w:i/>
        </w:rPr>
        <w:t>Kubat</w:t>
      </w:r>
      <w:proofErr w:type="spellEnd"/>
      <w:r w:rsidR="006F771F" w:rsidRPr="00485A08">
        <w:rPr>
          <w:rFonts w:ascii="Times New Roman" w:hAnsi="Times New Roman" w:cs="Times New Roman"/>
          <w:iCs/>
        </w:rPr>
        <w:t>, above n 32, at</w:t>
      </w:r>
      <w:r w:rsidRPr="00485A08">
        <w:rPr>
          <w:rFonts w:ascii="Times New Roman" w:hAnsi="Times New Roman" w:cs="Times New Roman"/>
          <w:i/>
        </w:rPr>
        <w:t xml:space="preserve"> </w:t>
      </w:r>
      <w:r w:rsidRPr="00485A08">
        <w:rPr>
          <w:rFonts w:ascii="Times New Roman" w:hAnsi="Times New Roman" w:cs="Times New Roman"/>
        </w:rPr>
        <w:t>[73].</w:t>
      </w:r>
    </w:p>
  </w:footnote>
  <w:footnote w:id="35">
    <w:p w14:paraId="320269FE" w14:textId="7AFE8F06"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proofErr w:type="spellStart"/>
      <w:r w:rsidRPr="00485A08">
        <w:rPr>
          <w:rFonts w:ascii="Times New Roman" w:hAnsi="Times New Roman" w:cs="Times New Roman"/>
          <w:i/>
        </w:rPr>
        <w:t>Mikulic</w:t>
      </w:r>
      <w:proofErr w:type="spellEnd"/>
      <w:r w:rsidR="006F771F" w:rsidRPr="00485A08">
        <w:rPr>
          <w:rFonts w:ascii="Times New Roman" w:hAnsi="Times New Roman" w:cs="Times New Roman"/>
          <w:iCs/>
        </w:rPr>
        <w:t>, above n 32, at</w:t>
      </w:r>
      <w:r w:rsidRPr="00485A08">
        <w:rPr>
          <w:rFonts w:ascii="Times New Roman" w:hAnsi="Times New Roman" w:cs="Times New Roman"/>
        </w:rPr>
        <w:t xml:space="preserve"> [230]; </w:t>
      </w:r>
      <w:r w:rsidRPr="00485A08">
        <w:rPr>
          <w:rFonts w:ascii="Times New Roman" w:hAnsi="Times New Roman" w:cs="Times New Roman"/>
          <w:i/>
        </w:rPr>
        <w:t>Edgar</w:t>
      </w:r>
      <w:r w:rsidR="006F771F" w:rsidRPr="00485A08">
        <w:rPr>
          <w:rFonts w:ascii="Times New Roman" w:hAnsi="Times New Roman" w:cs="Times New Roman"/>
          <w:iCs/>
        </w:rPr>
        <w:t>, above n 32, at</w:t>
      </w:r>
      <w:r w:rsidRPr="00485A08">
        <w:rPr>
          <w:rFonts w:ascii="Times New Roman" w:hAnsi="Times New Roman" w:cs="Times New Roman"/>
        </w:rPr>
        <w:t xml:space="preserve"> [66].</w:t>
      </w:r>
    </w:p>
  </w:footnote>
  <w:footnote w:id="36">
    <w:p w14:paraId="320269FF" w14:textId="71CDD611"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An argument of reasonable accommodation was not raised in the Federal Court decision, and the Federal Court judgment did not deal with the specific question of reasonable accommodation under Part 3-1: </w:t>
      </w:r>
      <w:proofErr w:type="spellStart"/>
      <w:r w:rsidRPr="00485A08">
        <w:rPr>
          <w:rFonts w:ascii="Times New Roman" w:hAnsi="Times New Roman" w:cs="Times New Roman"/>
          <w:i/>
        </w:rPr>
        <w:t>Rail</w:t>
      </w:r>
      <w:r w:rsidR="0066110F" w:rsidRPr="00485A08">
        <w:rPr>
          <w:rFonts w:ascii="Times New Roman" w:hAnsi="Times New Roman" w:cs="Times New Roman"/>
          <w:i/>
        </w:rPr>
        <w:t>P</w:t>
      </w:r>
      <w:r w:rsidRPr="00485A08">
        <w:rPr>
          <w:rFonts w:ascii="Times New Roman" w:hAnsi="Times New Roman" w:cs="Times New Roman"/>
          <w:i/>
        </w:rPr>
        <w:t>ro</w:t>
      </w:r>
      <w:proofErr w:type="spellEnd"/>
      <w:r w:rsidRPr="00485A08">
        <w:rPr>
          <w:rFonts w:ascii="Times New Roman" w:hAnsi="Times New Roman" w:cs="Times New Roman"/>
          <w:i/>
        </w:rPr>
        <w:t xml:space="preserve"> Services Pty Ltd v </w:t>
      </w:r>
      <w:proofErr w:type="spellStart"/>
      <w:r w:rsidRPr="00485A08">
        <w:rPr>
          <w:rFonts w:ascii="Times New Roman" w:hAnsi="Times New Roman" w:cs="Times New Roman"/>
          <w:i/>
        </w:rPr>
        <w:t>Flavel</w:t>
      </w:r>
      <w:proofErr w:type="spellEnd"/>
      <w:r w:rsidRPr="00485A08">
        <w:rPr>
          <w:rFonts w:ascii="Times New Roman" w:hAnsi="Times New Roman" w:cs="Times New Roman"/>
        </w:rPr>
        <w:t xml:space="preserve"> (2015) 242 FCR 424</w:t>
      </w:r>
      <w:r w:rsidR="00C0325C" w:rsidRPr="00485A08">
        <w:rPr>
          <w:rFonts w:ascii="Times New Roman" w:hAnsi="Times New Roman" w:cs="Times New Roman"/>
        </w:rPr>
        <w:t xml:space="preserve"> (</w:t>
      </w:r>
      <w:proofErr w:type="spellStart"/>
      <w:r w:rsidR="00C0325C" w:rsidRPr="00485A08">
        <w:rPr>
          <w:rFonts w:ascii="Times New Roman" w:hAnsi="Times New Roman" w:cs="Times New Roman"/>
          <w:i/>
          <w:iCs/>
        </w:rPr>
        <w:t>RailPro</w:t>
      </w:r>
      <w:proofErr w:type="spellEnd"/>
      <w:r w:rsidR="00C0325C" w:rsidRPr="00485A08">
        <w:rPr>
          <w:rFonts w:ascii="Times New Roman" w:hAnsi="Times New Roman" w:cs="Times New Roman"/>
        </w:rPr>
        <w:t>)</w:t>
      </w:r>
      <w:r w:rsidRPr="00485A08">
        <w:rPr>
          <w:rFonts w:ascii="Times New Roman" w:hAnsi="Times New Roman" w:cs="Times New Roman"/>
        </w:rPr>
        <w:t xml:space="preserve">. The pinpoint citation of </w:t>
      </w:r>
      <w:proofErr w:type="spellStart"/>
      <w:r w:rsidRPr="00485A08">
        <w:rPr>
          <w:rFonts w:ascii="Times New Roman" w:hAnsi="Times New Roman" w:cs="Times New Roman"/>
          <w:i/>
        </w:rPr>
        <w:t>Rail</w:t>
      </w:r>
      <w:r w:rsidR="00CF4D73" w:rsidRPr="00485A08">
        <w:rPr>
          <w:rFonts w:ascii="Times New Roman" w:hAnsi="Times New Roman" w:cs="Times New Roman"/>
          <w:i/>
        </w:rPr>
        <w:t>P</w:t>
      </w:r>
      <w:r w:rsidRPr="00485A08">
        <w:rPr>
          <w:rFonts w:ascii="Times New Roman" w:hAnsi="Times New Roman" w:cs="Times New Roman"/>
          <w:i/>
        </w:rPr>
        <w:t>ro</w:t>
      </w:r>
      <w:proofErr w:type="spellEnd"/>
      <w:r w:rsidRPr="00485A08">
        <w:rPr>
          <w:rFonts w:ascii="Times New Roman" w:hAnsi="Times New Roman" w:cs="Times New Roman"/>
        </w:rPr>
        <w:t xml:space="preserve"> included in </w:t>
      </w:r>
      <w:proofErr w:type="spellStart"/>
      <w:r w:rsidRPr="00485A08">
        <w:rPr>
          <w:rFonts w:ascii="Times New Roman" w:hAnsi="Times New Roman" w:cs="Times New Roman"/>
          <w:i/>
        </w:rPr>
        <w:t>Mikulic</w:t>
      </w:r>
      <w:proofErr w:type="spellEnd"/>
      <w:r w:rsidR="00AF042B">
        <w:rPr>
          <w:rFonts w:ascii="Times New Roman" w:hAnsi="Times New Roman" w:cs="Times New Roman"/>
          <w:iCs/>
        </w:rPr>
        <w:t>, above n 32</w:t>
      </w:r>
      <w:r w:rsidRPr="00485A08">
        <w:rPr>
          <w:rFonts w:ascii="Times New Roman" w:hAnsi="Times New Roman" w:cs="Times New Roman"/>
          <w:i/>
        </w:rPr>
        <w:t xml:space="preserve"> </w:t>
      </w:r>
      <w:r w:rsidRPr="00485A08">
        <w:rPr>
          <w:rFonts w:ascii="Times New Roman" w:hAnsi="Times New Roman" w:cs="Times New Roman"/>
        </w:rPr>
        <w:t>(discussed below), is as follows: ‘</w:t>
      </w:r>
      <w:r w:rsidRPr="00485A08">
        <w:rPr>
          <w:rFonts w:ascii="Times New Roman" w:hAnsi="Times New Roman" w:cs="Times New Roman"/>
          <w:lang w:val="en"/>
        </w:rPr>
        <w:t xml:space="preserve">It does not follow that conduct which contravenes the </w:t>
      </w:r>
      <w:hyperlink r:id="rId2" w:history="1">
        <w:r w:rsidRPr="00485A08">
          <w:rPr>
            <w:rFonts w:ascii="Times New Roman" w:hAnsi="Times New Roman" w:cs="Times New Roman"/>
            <w:iCs/>
            <w:lang w:val="en"/>
          </w:rPr>
          <w:t>Disability Discrimination Act</w:t>
        </w:r>
      </w:hyperlink>
      <w:r w:rsidRPr="00485A08">
        <w:rPr>
          <w:rFonts w:ascii="Times New Roman" w:hAnsi="Times New Roman" w:cs="Times New Roman"/>
          <w:lang w:val="en"/>
        </w:rPr>
        <w:t xml:space="preserve"> thereby also contravenes s 351(1) of the </w:t>
      </w:r>
      <w:r w:rsidRPr="00485A08">
        <w:rPr>
          <w:rFonts w:ascii="Times New Roman" w:hAnsi="Times New Roman" w:cs="Times New Roman"/>
          <w:iCs/>
          <w:lang w:val="en"/>
        </w:rPr>
        <w:t>FW Act</w:t>
      </w:r>
      <w:r w:rsidRPr="00485A08">
        <w:rPr>
          <w:rFonts w:ascii="Times New Roman" w:hAnsi="Times New Roman" w:cs="Times New Roman"/>
          <w:lang w:val="en"/>
        </w:rPr>
        <w:t xml:space="preserve"> contrary to the assumption apparently made by the primary judge: </w:t>
      </w:r>
      <w:r w:rsidRPr="00485A08">
        <w:rPr>
          <w:rFonts w:ascii="Times New Roman" w:hAnsi="Times New Roman" w:cs="Times New Roman"/>
          <w:iCs/>
          <w:lang w:val="en"/>
        </w:rPr>
        <w:t>Hodkinson v Commonwealth</w:t>
      </w:r>
      <w:r w:rsidRPr="00485A08">
        <w:rPr>
          <w:rFonts w:ascii="Times New Roman" w:hAnsi="Times New Roman" w:cs="Times New Roman"/>
          <w:i/>
          <w:lang w:val="en"/>
        </w:rPr>
        <w:t xml:space="preserve"> </w:t>
      </w:r>
      <w:hyperlink r:id="rId3" w:tooltip="View Case" w:history="1">
        <w:r w:rsidRPr="00485A08">
          <w:rPr>
            <w:rFonts w:ascii="Times New Roman" w:hAnsi="Times New Roman" w:cs="Times New Roman"/>
            <w:lang w:val="en"/>
          </w:rPr>
          <w:t>[2011] FMCA 171</w:t>
        </w:r>
      </w:hyperlink>
      <w:r w:rsidRPr="00485A08">
        <w:rPr>
          <w:rFonts w:ascii="Times New Roman" w:hAnsi="Times New Roman" w:cs="Times New Roman"/>
          <w:lang w:val="en"/>
        </w:rPr>
        <w:t xml:space="preserve">; </w:t>
      </w:r>
      <w:hyperlink r:id="rId4" w:tooltip="View LawCiteRecord" w:history="1">
        <w:r w:rsidRPr="00485A08">
          <w:rPr>
            <w:rFonts w:ascii="Times New Roman" w:hAnsi="Times New Roman" w:cs="Times New Roman"/>
            <w:lang w:val="en"/>
          </w:rPr>
          <w:t>(2011) 207 IR 129</w:t>
        </w:r>
      </w:hyperlink>
      <w:r w:rsidRPr="00485A08">
        <w:rPr>
          <w:rFonts w:ascii="Times New Roman" w:hAnsi="Times New Roman" w:cs="Times New Roman"/>
          <w:lang w:val="en"/>
        </w:rPr>
        <w:t xml:space="preserve"> … at 165 [143] (Cameron FM)’</w:t>
      </w:r>
      <w:r w:rsidR="00D55195">
        <w:rPr>
          <w:rFonts w:ascii="Times New Roman" w:hAnsi="Times New Roman" w:cs="Times New Roman"/>
          <w:lang w:val="en"/>
        </w:rPr>
        <w:t>:</w:t>
      </w:r>
      <w:r w:rsidRPr="00485A08">
        <w:rPr>
          <w:rFonts w:ascii="Times New Roman" w:hAnsi="Times New Roman" w:cs="Times New Roman"/>
          <w:lang w:val="en"/>
        </w:rPr>
        <w:t xml:space="preserve"> </w:t>
      </w:r>
      <w:r w:rsidR="00D55195">
        <w:rPr>
          <w:rFonts w:ascii="Times New Roman" w:hAnsi="Times New Roman" w:cs="Times New Roman"/>
          <w:lang w:val="en"/>
        </w:rPr>
        <w:t xml:space="preserve">at [114] </w:t>
      </w:r>
      <w:r w:rsidRPr="00485A08">
        <w:rPr>
          <w:rFonts w:ascii="Times New Roman" w:hAnsi="Times New Roman" w:cs="Times New Roman"/>
          <w:lang w:val="en"/>
        </w:rPr>
        <w:t>(formatting removed).</w:t>
      </w:r>
    </w:p>
  </w:footnote>
  <w:footnote w:id="37">
    <w:p w14:paraId="32026A00" w14:textId="1ABF132B"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Pr="00485A08">
        <w:rPr>
          <w:rFonts w:ascii="Times New Roman" w:hAnsi="Times New Roman" w:cs="Times New Roman"/>
          <w:i/>
        </w:rPr>
        <w:t>Hodkinson</w:t>
      </w:r>
      <w:r w:rsidR="00D4447A" w:rsidRPr="00485A08">
        <w:rPr>
          <w:rFonts w:ascii="Times New Roman" w:hAnsi="Times New Roman" w:cs="Times New Roman"/>
          <w:iCs/>
        </w:rPr>
        <w:t>,</w:t>
      </w:r>
      <w:r w:rsidR="00D4447A" w:rsidRPr="00485A08">
        <w:rPr>
          <w:rFonts w:ascii="Times New Roman" w:hAnsi="Times New Roman" w:cs="Times New Roman"/>
          <w:i/>
        </w:rPr>
        <w:t xml:space="preserve"> </w:t>
      </w:r>
      <w:r w:rsidR="00D4447A" w:rsidRPr="00485A08">
        <w:rPr>
          <w:rFonts w:ascii="Times New Roman" w:hAnsi="Times New Roman" w:cs="Times New Roman"/>
          <w:iCs/>
        </w:rPr>
        <w:t>above n 19,</w:t>
      </w:r>
      <w:r w:rsidR="0044139D" w:rsidRPr="00485A08">
        <w:rPr>
          <w:rFonts w:ascii="Times New Roman" w:hAnsi="Times New Roman" w:cs="Times New Roman"/>
          <w:i/>
        </w:rPr>
        <w:t xml:space="preserve"> </w:t>
      </w:r>
      <w:r w:rsidR="0044139D" w:rsidRPr="00485A08">
        <w:rPr>
          <w:rFonts w:ascii="Times New Roman" w:hAnsi="Times New Roman" w:cs="Times New Roman"/>
          <w:iCs/>
        </w:rPr>
        <w:t>at</w:t>
      </w:r>
      <w:r w:rsidRPr="00485A08">
        <w:rPr>
          <w:rFonts w:ascii="Times New Roman" w:hAnsi="Times New Roman" w:cs="Times New Roman"/>
        </w:rPr>
        <w:t xml:space="preserve"> [187]; </w:t>
      </w:r>
      <w:proofErr w:type="spellStart"/>
      <w:r w:rsidRPr="00485A08">
        <w:rPr>
          <w:rFonts w:ascii="Times New Roman" w:hAnsi="Times New Roman" w:cs="Times New Roman"/>
          <w:i/>
        </w:rPr>
        <w:t>Kubat</w:t>
      </w:r>
      <w:proofErr w:type="spellEnd"/>
      <w:r w:rsidR="00D4447A" w:rsidRPr="00485A08">
        <w:rPr>
          <w:rFonts w:ascii="Times New Roman" w:hAnsi="Times New Roman" w:cs="Times New Roman"/>
          <w:iCs/>
        </w:rPr>
        <w:t>, above n 32, at</w:t>
      </w:r>
      <w:r w:rsidRPr="00485A08">
        <w:rPr>
          <w:rFonts w:ascii="Times New Roman" w:hAnsi="Times New Roman" w:cs="Times New Roman"/>
        </w:rPr>
        <w:t xml:space="preserve"> [73]; </w:t>
      </w:r>
      <w:r w:rsidRPr="00485A08">
        <w:rPr>
          <w:rFonts w:ascii="Times New Roman" w:hAnsi="Times New Roman" w:cs="Times New Roman"/>
          <w:i/>
        </w:rPr>
        <w:t>Edga</w:t>
      </w:r>
      <w:r w:rsidR="00B625B2" w:rsidRPr="00485A08">
        <w:rPr>
          <w:rFonts w:ascii="Times New Roman" w:hAnsi="Times New Roman" w:cs="Times New Roman"/>
          <w:i/>
        </w:rPr>
        <w:t>r</w:t>
      </w:r>
      <w:r w:rsidR="00D4447A" w:rsidRPr="00485A08">
        <w:rPr>
          <w:rFonts w:ascii="Times New Roman" w:hAnsi="Times New Roman" w:cs="Times New Roman"/>
          <w:iCs/>
        </w:rPr>
        <w:t>, above n 32, at</w:t>
      </w:r>
      <w:r w:rsidRPr="00485A08">
        <w:rPr>
          <w:rFonts w:ascii="Times New Roman" w:hAnsi="Times New Roman" w:cs="Times New Roman"/>
        </w:rPr>
        <w:t xml:space="preserve"> [66].</w:t>
      </w:r>
    </w:p>
  </w:footnote>
  <w:footnote w:id="38">
    <w:p w14:paraId="32026A01" w14:textId="09530CF2" w:rsidR="00526B9C" w:rsidRPr="00485A08" w:rsidRDefault="00543F23" w:rsidP="00485A08">
      <w:pPr>
        <w:pStyle w:val="FootnoteText"/>
        <w:jc w:val="both"/>
        <w:rPr>
          <w:rFonts w:ascii="Times New Roman" w:hAnsi="Times New Roman" w:cs="Times New Roman"/>
          <w:color w:val="FF0000"/>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00EA6E2D" w:rsidRPr="00485A08">
        <w:rPr>
          <w:rFonts w:ascii="Times New Roman" w:hAnsi="Times New Roman" w:cs="Times New Roman"/>
          <w:i/>
        </w:rPr>
        <w:t>Hodkinson</w:t>
      </w:r>
      <w:r w:rsidR="00EA6E2D" w:rsidRPr="00485A08">
        <w:rPr>
          <w:rFonts w:ascii="Times New Roman" w:hAnsi="Times New Roman" w:cs="Times New Roman"/>
          <w:iCs/>
        </w:rPr>
        <w:t>, above n 19</w:t>
      </w:r>
      <w:r w:rsidRPr="00485A08">
        <w:rPr>
          <w:rFonts w:ascii="Times New Roman" w:hAnsi="Times New Roman" w:cs="Times New Roman"/>
          <w:iCs/>
        </w:rPr>
        <w:t>.</w:t>
      </w:r>
    </w:p>
  </w:footnote>
  <w:footnote w:id="39">
    <w:p w14:paraId="32026A02" w14:textId="009A2C90"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00CF4D73" w:rsidRPr="00485A08">
        <w:rPr>
          <w:rFonts w:ascii="Times New Roman" w:hAnsi="Times New Roman" w:cs="Times New Roman"/>
        </w:rPr>
        <w:t>Ibid</w:t>
      </w:r>
      <w:r w:rsidR="00F1058A">
        <w:rPr>
          <w:rFonts w:ascii="Times New Roman" w:hAnsi="Times New Roman" w:cs="Times New Roman"/>
        </w:rPr>
        <w:t>,</w:t>
      </w:r>
      <w:r w:rsidR="00CF4D73" w:rsidRPr="00485A08">
        <w:rPr>
          <w:rFonts w:ascii="Times New Roman" w:hAnsi="Times New Roman" w:cs="Times New Roman"/>
        </w:rPr>
        <w:t xml:space="preserve"> at</w:t>
      </w:r>
      <w:r w:rsidRPr="00485A08">
        <w:rPr>
          <w:rFonts w:ascii="Times New Roman" w:hAnsi="Times New Roman" w:cs="Times New Roman"/>
          <w:i/>
        </w:rPr>
        <w:t xml:space="preserve"> </w:t>
      </w:r>
      <w:r w:rsidRPr="00485A08">
        <w:rPr>
          <w:rFonts w:ascii="Times New Roman" w:hAnsi="Times New Roman" w:cs="Times New Roman"/>
        </w:rPr>
        <w:t>[187]</w:t>
      </w:r>
      <w:r w:rsidR="00C1456C" w:rsidRPr="00485A08">
        <w:rPr>
          <w:rFonts w:ascii="Times New Roman" w:hAnsi="Times New Roman" w:cs="Times New Roman"/>
        </w:rPr>
        <w:t xml:space="preserve"> (formatting </w:t>
      </w:r>
      <w:r w:rsidR="003C705E" w:rsidRPr="00485A08">
        <w:rPr>
          <w:rFonts w:ascii="Times New Roman" w:hAnsi="Times New Roman" w:cs="Times New Roman"/>
        </w:rPr>
        <w:t xml:space="preserve">as </w:t>
      </w:r>
      <w:r w:rsidR="00A851FD">
        <w:rPr>
          <w:rFonts w:ascii="Times New Roman" w:hAnsi="Times New Roman" w:cs="Times New Roman"/>
        </w:rPr>
        <w:t>in</w:t>
      </w:r>
      <w:r w:rsidR="003C705E" w:rsidRPr="00485A08">
        <w:rPr>
          <w:rFonts w:ascii="Times New Roman" w:hAnsi="Times New Roman" w:cs="Times New Roman"/>
        </w:rPr>
        <w:t xml:space="preserve"> </w:t>
      </w:r>
      <w:r w:rsidR="00C1456C" w:rsidRPr="00485A08">
        <w:rPr>
          <w:rFonts w:ascii="Times New Roman" w:hAnsi="Times New Roman" w:cs="Times New Roman"/>
        </w:rPr>
        <w:t>original)</w:t>
      </w:r>
      <w:r w:rsidR="00D55195">
        <w:rPr>
          <w:rFonts w:ascii="Times New Roman" w:hAnsi="Times New Roman" w:cs="Times New Roman"/>
        </w:rPr>
        <w:t>.</w:t>
      </w:r>
      <w:r w:rsidRPr="00485A08">
        <w:rPr>
          <w:rFonts w:ascii="Times New Roman" w:hAnsi="Times New Roman" w:cs="Times New Roman"/>
        </w:rPr>
        <w:t xml:space="preserve"> See also </w:t>
      </w:r>
      <w:r w:rsidR="0025387C" w:rsidRPr="00485A08">
        <w:rPr>
          <w:rFonts w:ascii="Times New Roman" w:hAnsi="Times New Roman" w:cs="Times New Roman"/>
        </w:rPr>
        <w:t xml:space="preserve">at </w:t>
      </w:r>
      <w:r w:rsidRPr="00485A08">
        <w:rPr>
          <w:rFonts w:ascii="Times New Roman" w:hAnsi="Times New Roman" w:cs="Times New Roman"/>
        </w:rPr>
        <w:t>[141]</w:t>
      </w:r>
      <w:proofErr w:type="gramStart"/>
      <w:r w:rsidR="00921E62" w:rsidRPr="00485A08">
        <w:rPr>
          <w:rFonts w:ascii="Times New Roman" w:hAnsi="Times New Roman" w:cs="Times New Roman"/>
        </w:rPr>
        <w:t>–</w:t>
      </w:r>
      <w:r w:rsidRPr="00485A08">
        <w:rPr>
          <w:rFonts w:ascii="Times New Roman" w:hAnsi="Times New Roman" w:cs="Times New Roman"/>
        </w:rPr>
        <w:t>[</w:t>
      </w:r>
      <w:proofErr w:type="gramEnd"/>
      <w:r w:rsidRPr="00485A08">
        <w:rPr>
          <w:rFonts w:ascii="Times New Roman" w:hAnsi="Times New Roman" w:cs="Times New Roman"/>
        </w:rPr>
        <w:t>143].</w:t>
      </w:r>
    </w:p>
  </w:footnote>
  <w:footnote w:id="40">
    <w:p w14:paraId="32026A03" w14:textId="053D24FA"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007866B6" w:rsidRPr="00485A08">
        <w:rPr>
          <w:rFonts w:ascii="Times New Roman" w:hAnsi="Times New Roman" w:cs="Times New Roman"/>
        </w:rPr>
        <w:t>Ibid</w:t>
      </w:r>
      <w:r w:rsidR="007A511F" w:rsidRPr="00485A08">
        <w:rPr>
          <w:rFonts w:ascii="Times New Roman" w:hAnsi="Times New Roman" w:cs="Times New Roman"/>
        </w:rPr>
        <w:t>,</w:t>
      </w:r>
      <w:r w:rsidR="00CF4D73" w:rsidRPr="00485A08">
        <w:rPr>
          <w:rFonts w:ascii="Times New Roman" w:hAnsi="Times New Roman" w:cs="Times New Roman"/>
        </w:rPr>
        <w:t xml:space="preserve"> at</w:t>
      </w:r>
      <w:r w:rsidR="007866B6" w:rsidRPr="00485A08">
        <w:rPr>
          <w:rFonts w:ascii="Times New Roman" w:hAnsi="Times New Roman" w:cs="Times New Roman"/>
        </w:rPr>
        <w:t xml:space="preserve"> </w:t>
      </w:r>
      <w:r w:rsidRPr="00485A08">
        <w:rPr>
          <w:rFonts w:ascii="Times New Roman" w:hAnsi="Times New Roman" w:cs="Times New Roman"/>
        </w:rPr>
        <w:t>[169].</w:t>
      </w:r>
    </w:p>
  </w:footnote>
  <w:footnote w:id="41">
    <w:p w14:paraId="32026A04" w14:textId="5C43CDB8"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001B6F9A" w:rsidRPr="00485A08">
        <w:rPr>
          <w:rFonts w:ascii="Times New Roman" w:hAnsi="Times New Roman" w:cs="Times New Roman"/>
        </w:rPr>
        <w:t>Ibid</w:t>
      </w:r>
      <w:r w:rsidR="007A511F" w:rsidRPr="00485A08">
        <w:rPr>
          <w:rFonts w:ascii="Times New Roman" w:hAnsi="Times New Roman" w:cs="Times New Roman"/>
        </w:rPr>
        <w:t>,</w:t>
      </w:r>
      <w:r w:rsidR="00253015" w:rsidRPr="00485A08">
        <w:rPr>
          <w:rFonts w:ascii="Times New Roman" w:hAnsi="Times New Roman" w:cs="Times New Roman"/>
        </w:rPr>
        <w:t xml:space="preserve"> at</w:t>
      </w:r>
      <w:r w:rsidR="001B6F9A" w:rsidRPr="00485A08">
        <w:rPr>
          <w:rFonts w:ascii="Times New Roman" w:hAnsi="Times New Roman" w:cs="Times New Roman"/>
        </w:rPr>
        <w:t xml:space="preserve"> </w:t>
      </w:r>
      <w:r w:rsidRPr="00485A08">
        <w:rPr>
          <w:rFonts w:ascii="Times New Roman" w:hAnsi="Times New Roman" w:cs="Times New Roman"/>
        </w:rPr>
        <w:t>[170].</w:t>
      </w:r>
    </w:p>
  </w:footnote>
  <w:footnote w:id="42">
    <w:p w14:paraId="32026A05" w14:textId="4EB80D8A"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001B6F9A" w:rsidRPr="00485A08">
        <w:rPr>
          <w:rFonts w:ascii="Times New Roman" w:hAnsi="Times New Roman" w:cs="Times New Roman"/>
        </w:rPr>
        <w:t>Ibid</w:t>
      </w:r>
      <w:r w:rsidR="007A511F" w:rsidRPr="00485A08">
        <w:rPr>
          <w:rFonts w:ascii="Times New Roman" w:hAnsi="Times New Roman" w:cs="Times New Roman"/>
        </w:rPr>
        <w:t>,</w:t>
      </w:r>
      <w:r w:rsidR="001B6F9A" w:rsidRPr="00485A08">
        <w:rPr>
          <w:rFonts w:ascii="Times New Roman" w:hAnsi="Times New Roman" w:cs="Times New Roman"/>
        </w:rPr>
        <w:t xml:space="preserve"> </w:t>
      </w:r>
      <w:r w:rsidR="00253015" w:rsidRPr="00485A08">
        <w:rPr>
          <w:rFonts w:ascii="Times New Roman" w:hAnsi="Times New Roman" w:cs="Times New Roman"/>
        </w:rPr>
        <w:t xml:space="preserve">at </w:t>
      </w:r>
      <w:r w:rsidRPr="00485A08">
        <w:rPr>
          <w:rFonts w:ascii="Times New Roman" w:hAnsi="Times New Roman" w:cs="Times New Roman"/>
        </w:rPr>
        <w:t xml:space="preserve">[171]. This approach to interpretation has been continued in subsequent cases: Chapman, above n 8, </w:t>
      </w:r>
      <w:r w:rsidR="00921E62" w:rsidRPr="00485A08">
        <w:rPr>
          <w:rFonts w:ascii="Times New Roman" w:hAnsi="Times New Roman" w:cs="Times New Roman"/>
        </w:rPr>
        <w:t xml:space="preserve">at </w:t>
      </w:r>
      <w:r w:rsidRPr="00485A08">
        <w:rPr>
          <w:rFonts w:ascii="Times New Roman" w:hAnsi="Times New Roman" w:cs="Times New Roman"/>
        </w:rPr>
        <w:t>17</w:t>
      </w:r>
      <w:r w:rsidR="00921E62" w:rsidRPr="00485A08">
        <w:rPr>
          <w:rFonts w:ascii="Times New Roman" w:hAnsi="Times New Roman" w:cs="Times New Roman"/>
        </w:rPr>
        <w:t>–</w:t>
      </w:r>
      <w:r w:rsidRPr="00485A08">
        <w:rPr>
          <w:rFonts w:ascii="Times New Roman" w:hAnsi="Times New Roman" w:cs="Times New Roman"/>
        </w:rPr>
        <w:t>26.</w:t>
      </w:r>
    </w:p>
  </w:footnote>
  <w:footnote w:id="43">
    <w:p w14:paraId="32026A06" w14:textId="35AC3075"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00656296" w:rsidRPr="00485A08">
        <w:rPr>
          <w:rFonts w:ascii="Times New Roman" w:hAnsi="Times New Roman" w:cs="Times New Roman"/>
          <w:i/>
        </w:rPr>
        <w:t>Hodkinson</w:t>
      </w:r>
      <w:r w:rsidR="00656296" w:rsidRPr="00485A08">
        <w:rPr>
          <w:rFonts w:ascii="Times New Roman" w:hAnsi="Times New Roman" w:cs="Times New Roman"/>
          <w:iCs/>
        </w:rPr>
        <w:t>, above n 19</w:t>
      </w:r>
      <w:r w:rsidR="007A511F" w:rsidRPr="00485A08">
        <w:rPr>
          <w:rFonts w:ascii="Times New Roman" w:hAnsi="Times New Roman" w:cs="Times New Roman"/>
        </w:rPr>
        <w:t>,</w:t>
      </w:r>
      <w:r w:rsidR="001B6F9A" w:rsidRPr="00485A08">
        <w:rPr>
          <w:rFonts w:ascii="Times New Roman" w:hAnsi="Times New Roman" w:cs="Times New Roman"/>
        </w:rPr>
        <w:t xml:space="preserve"> </w:t>
      </w:r>
      <w:r w:rsidR="00253015" w:rsidRPr="00485A08">
        <w:rPr>
          <w:rFonts w:ascii="Times New Roman" w:hAnsi="Times New Roman" w:cs="Times New Roman"/>
        </w:rPr>
        <w:t xml:space="preserve">at </w:t>
      </w:r>
      <w:r w:rsidRPr="00485A08">
        <w:rPr>
          <w:rFonts w:ascii="Times New Roman" w:hAnsi="Times New Roman" w:cs="Times New Roman"/>
        </w:rPr>
        <w:t xml:space="preserve">[178]. See further, Chapman, above n 8, </w:t>
      </w:r>
      <w:r w:rsidR="00921E62" w:rsidRPr="00485A08">
        <w:rPr>
          <w:rFonts w:ascii="Times New Roman" w:hAnsi="Times New Roman" w:cs="Times New Roman"/>
        </w:rPr>
        <w:t xml:space="preserve">at </w:t>
      </w:r>
      <w:r w:rsidRPr="00485A08">
        <w:rPr>
          <w:rFonts w:ascii="Times New Roman" w:hAnsi="Times New Roman" w:cs="Times New Roman"/>
        </w:rPr>
        <w:t>17</w:t>
      </w:r>
      <w:r w:rsidR="00921E62" w:rsidRPr="00485A08">
        <w:rPr>
          <w:rFonts w:ascii="Times New Roman" w:hAnsi="Times New Roman" w:cs="Times New Roman"/>
        </w:rPr>
        <w:t>–</w:t>
      </w:r>
      <w:r w:rsidRPr="00485A08">
        <w:rPr>
          <w:rFonts w:ascii="Times New Roman" w:hAnsi="Times New Roman" w:cs="Times New Roman"/>
        </w:rPr>
        <w:t>26.</w:t>
      </w:r>
    </w:p>
  </w:footnote>
  <w:footnote w:id="44">
    <w:p w14:paraId="32026A07" w14:textId="29CBCF6C"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00656296" w:rsidRPr="00485A08">
        <w:rPr>
          <w:rFonts w:ascii="Times New Roman" w:hAnsi="Times New Roman" w:cs="Times New Roman"/>
          <w:i/>
        </w:rPr>
        <w:t>Hodkinson</w:t>
      </w:r>
      <w:r w:rsidR="00656296" w:rsidRPr="00485A08">
        <w:rPr>
          <w:rFonts w:ascii="Times New Roman" w:hAnsi="Times New Roman" w:cs="Times New Roman"/>
          <w:iCs/>
        </w:rPr>
        <w:t>, above n 19</w:t>
      </w:r>
      <w:r w:rsidR="007A511F" w:rsidRPr="00485A08">
        <w:rPr>
          <w:rFonts w:ascii="Times New Roman" w:hAnsi="Times New Roman" w:cs="Times New Roman"/>
        </w:rPr>
        <w:t>,</w:t>
      </w:r>
      <w:r w:rsidR="001B6F9A" w:rsidRPr="00485A08">
        <w:rPr>
          <w:rFonts w:ascii="Times New Roman" w:hAnsi="Times New Roman" w:cs="Times New Roman"/>
        </w:rPr>
        <w:t xml:space="preserve"> </w:t>
      </w:r>
      <w:r w:rsidR="00253015" w:rsidRPr="00485A08">
        <w:rPr>
          <w:rFonts w:ascii="Times New Roman" w:hAnsi="Times New Roman" w:cs="Times New Roman"/>
        </w:rPr>
        <w:t xml:space="preserve">at </w:t>
      </w:r>
      <w:r w:rsidRPr="00485A08">
        <w:rPr>
          <w:rFonts w:ascii="Times New Roman" w:hAnsi="Times New Roman" w:cs="Times New Roman"/>
        </w:rPr>
        <w:t>[175].</w:t>
      </w:r>
    </w:p>
  </w:footnote>
  <w:footnote w:id="45">
    <w:p w14:paraId="32026A08" w14:textId="09BC6351"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001B6F9A" w:rsidRPr="00485A08">
        <w:rPr>
          <w:rFonts w:ascii="Times New Roman" w:hAnsi="Times New Roman" w:cs="Times New Roman"/>
        </w:rPr>
        <w:t>Ibid</w:t>
      </w:r>
      <w:r w:rsidR="007A511F" w:rsidRPr="00485A08">
        <w:rPr>
          <w:rFonts w:ascii="Times New Roman" w:hAnsi="Times New Roman" w:cs="Times New Roman"/>
        </w:rPr>
        <w:t>,</w:t>
      </w:r>
      <w:r w:rsidR="001B6F9A" w:rsidRPr="00485A08">
        <w:rPr>
          <w:rFonts w:ascii="Times New Roman" w:hAnsi="Times New Roman" w:cs="Times New Roman"/>
        </w:rPr>
        <w:t xml:space="preserve"> </w:t>
      </w:r>
      <w:r w:rsidR="00253015" w:rsidRPr="00485A08">
        <w:rPr>
          <w:rFonts w:ascii="Times New Roman" w:hAnsi="Times New Roman" w:cs="Times New Roman"/>
        </w:rPr>
        <w:t xml:space="preserve">at </w:t>
      </w:r>
      <w:r w:rsidRPr="00485A08">
        <w:rPr>
          <w:rFonts w:ascii="Times New Roman" w:hAnsi="Times New Roman" w:cs="Times New Roman"/>
        </w:rPr>
        <w:t>[175].</w:t>
      </w:r>
    </w:p>
  </w:footnote>
  <w:footnote w:id="46">
    <w:p w14:paraId="32026A09" w14:textId="254686B8"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001B6F9A" w:rsidRPr="00485A08">
        <w:rPr>
          <w:rFonts w:ascii="Times New Roman" w:hAnsi="Times New Roman" w:cs="Times New Roman"/>
        </w:rPr>
        <w:t>Ibid</w:t>
      </w:r>
      <w:r w:rsidR="007A511F" w:rsidRPr="00485A08">
        <w:rPr>
          <w:rFonts w:ascii="Times New Roman" w:hAnsi="Times New Roman" w:cs="Times New Roman"/>
        </w:rPr>
        <w:t>,</w:t>
      </w:r>
      <w:r w:rsidR="001B6F9A" w:rsidRPr="00485A08">
        <w:rPr>
          <w:rFonts w:ascii="Times New Roman" w:hAnsi="Times New Roman" w:cs="Times New Roman"/>
        </w:rPr>
        <w:t xml:space="preserve"> </w:t>
      </w:r>
      <w:r w:rsidR="00253015" w:rsidRPr="00485A08">
        <w:rPr>
          <w:rFonts w:ascii="Times New Roman" w:hAnsi="Times New Roman" w:cs="Times New Roman"/>
        </w:rPr>
        <w:t xml:space="preserve">at </w:t>
      </w:r>
      <w:r w:rsidRPr="00485A08">
        <w:rPr>
          <w:rFonts w:ascii="Times New Roman" w:hAnsi="Times New Roman" w:cs="Times New Roman"/>
        </w:rPr>
        <w:t xml:space="preserve">[186]. </w:t>
      </w:r>
    </w:p>
  </w:footnote>
  <w:footnote w:id="47">
    <w:p w14:paraId="32026A0A" w14:textId="6E779052"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proofErr w:type="spellStart"/>
      <w:r w:rsidRPr="00485A08">
        <w:rPr>
          <w:rFonts w:ascii="Times New Roman" w:hAnsi="Times New Roman" w:cs="Times New Roman"/>
          <w:i/>
        </w:rPr>
        <w:t>Kubat</w:t>
      </w:r>
      <w:proofErr w:type="spellEnd"/>
      <w:r w:rsidR="0068689A" w:rsidRPr="00BC2B25">
        <w:rPr>
          <w:rFonts w:ascii="Times New Roman" w:hAnsi="Times New Roman" w:cs="Times New Roman"/>
          <w:iCs/>
        </w:rPr>
        <w:t>,</w:t>
      </w:r>
      <w:r w:rsidRPr="00485A08">
        <w:rPr>
          <w:rFonts w:ascii="Times New Roman" w:hAnsi="Times New Roman" w:cs="Times New Roman"/>
        </w:rPr>
        <w:t xml:space="preserve"> </w:t>
      </w:r>
      <w:r w:rsidR="008D1760" w:rsidRPr="00485A08">
        <w:rPr>
          <w:rFonts w:ascii="Times New Roman" w:hAnsi="Times New Roman" w:cs="Times New Roman"/>
          <w:iCs/>
        </w:rPr>
        <w:t>above n 32, at</w:t>
      </w:r>
      <w:r w:rsidR="008D1760" w:rsidRPr="00485A08">
        <w:rPr>
          <w:rFonts w:ascii="Times New Roman" w:hAnsi="Times New Roman" w:cs="Times New Roman"/>
          <w:i/>
        </w:rPr>
        <w:t xml:space="preserve"> </w:t>
      </w:r>
      <w:r w:rsidRPr="00485A08">
        <w:rPr>
          <w:rFonts w:ascii="Times New Roman" w:hAnsi="Times New Roman" w:cs="Times New Roman"/>
        </w:rPr>
        <w:t xml:space="preserve">[73]; </w:t>
      </w:r>
      <w:r w:rsidRPr="00485A08">
        <w:rPr>
          <w:rFonts w:ascii="Times New Roman" w:hAnsi="Times New Roman" w:cs="Times New Roman"/>
          <w:i/>
        </w:rPr>
        <w:t>Edgar</w:t>
      </w:r>
      <w:r w:rsidR="0068689A" w:rsidRPr="00BC2B25">
        <w:rPr>
          <w:rFonts w:ascii="Times New Roman" w:hAnsi="Times New Roman" w:cs="Times New Roman"/>
          <w:iCs/>
        </w:rPr>
        <w:t>,</w:t>
      </w:r>
      <w:r w:rsidR="008D1760" w:rsidRPr="00656296">
        <w:rPr>
          <w:rFonts w:ascii="Times New Roman" w:hAnsi="Times New Roman" w:cs="Times New Roman"/>
          <w:iCs/>
        </w:rPr>
        <w:t xml:space="preserve"> </w:t>
      </w:r>
      <w:r w:rsidR="008D1760" w:rsidRPr="00485A08">
        <w:rPr>
          <w:rFonts w:ascii="Times New Roman" w:hAnsi="Times New Roman" w:cs="Times New Roman"/>
          <w:iCs/>
        </w:rPr>
        <w:t>above n 32, at</w:t>
      </w:r>
      <w:r w:rsidRPr="00485A08">
        <w:rPr>
          <w:rFonts w:ascii="Times New Roman" w:hAnsi="Times New Roman" w:cs="Times New Roman"/>
          <w:i/>
        </w:rPr>
        <w:t xml:space="preserve"> </w:t>
      </w:r>
      <w:r w:rsidRPr="00485A08">
        <w:rPr>
          <w:rFonts w:ascii="Times New Roman" w:hAnsi="Times New Roman" w:cs="Times New Roman"/>
        </w:rPr>
        <w:t xml:space="preserve">[66]. In </w:t>
      </w:r>
      <w:r w:rsidRPr="00485A08">
        <w:rPr>
          <w:rFonts w:ascii="Times New Roman" w:hAnsi="Times New Roman" w:cs="Times New Roman"/>
          <w:i/>
        </w:rPr>
        <w:t>Edgar</w:t>
      </w:r>
      <w:r w:rsidRPr="00485A08">
        <w:rPr>
          <w:rFonts w:ascii="Times New Roman" w:hAnsi="Times New Roman" w:cs="Times New Roman"/>
        </w:rPr>
        <w:t xml:space="preserve"> the court cited </w:t>
      </w:r>
      <w:r w:rsidRPr="00485A08">
        <w:rPr>
          <w:rFonts w:ascii="Times New Roman" w:hAnsi="Times New Roman" w:cs="Times New Roman"/>
          <w:i/>
        </w:rPr>
        <w:t>Hodkinson</w:t>
      </w:r>
      <w:r w:rsidR="007832CF">
        <w:rPr>
          <w:rFonts w:ascii="Times New Roman" w:hAnsi="Times New Roman" w:cs="Times New Roman"/>
          <w:iCs/>
        </w:rPr>
        <w:t>,</w:t>
      </w:r>
      <w:r w:rsidRPr="00485A08">
        <w:rPr>
          <w:rFonts w:ascii="Times New Roman" w:hAnsi="Times New Roman" w:cs="Times New Roman"/>
          <w:i/>
        </w:rPr>
        <w:t xml:space="preserve"> </w:t>
      </w:r>
      <w:r w:rsidR="006C5BFF" w:rsidRPr="00485A08">
        <w:rPr>
          <w:rFonts w:ascii="Times New Roman" w:hAnsi="Times New Roman" w:cs="Times New Roman"/>
          <w:iCs/>
        </w:rPr>
        <w:t>above n 19</w:t>
      </w:r>
      <w:r w:rsidR="007832CF">
        <w:rPr>
          <w:rFonts w:ascii="Times New Roman" w:hAnsi="Times New Roman" w:cs="Times New Roman"/>
          <w:iCs/>
        </w:rPr>
        <w:t>,</w:t>
      </w:r>
      <w:r w:rsidR="006C5BFF" w:rsidRPr="00485A08">
        <w:rPr>
          <w:rFonts w:ascii="Times New Roman" w:hAnsi="Times New Roman" w:cs="Times New Roman"/>
          <w:iCs/>
        </w:rPr>
        <w:t xml:space="preserve"> </w:t>
      </w:r>
      <w:r w:rsidRPr="00485A08">
        <w:rPr>
          <w:rFonts w:ascii="Times New Roman" w:hAnsi="Times New Roman" w:cs="Times New Roman"/>
        </w:rPr>
        <w:t xml:space="preserve">and </w:t>
      </w:r>
      <w:proofErr w:type="spellStart"/>
      <w:r w:rsidRPr="00485A08">
        <w:rPr>
          <w:rFonts w:ascii="Times New Roman" w:hAnsi="Times New Roman" w:cs="Times New Roman"/>
          <w:i/>
        </w:rPr>
        <w:t>Rail</w:t>
      </w:r>
      <w:r w:rsidR="00921E62" w:rsidRPr="00485A08">
        <w:rPr>
          <w:rFonts w:ascii="Times New Roman" w:hAnsi="Times New Roman" w:cs="Times New Roman"/>
          <w:i/>
        </w:rPr>
        <w:t>P</w:t>
      </w:r>
      <w:r w:rsidRPr="00485A08">
        <w:rPr>
          <w:rFonts w:ascii="Times New Roman" w:hAnsi="Times New Roman" w:cs="Times New Roman"/>
          <w:i/>
        </w:rPr>
        <w:t>ro</w:t>
      </w:r>
      <w:proofErr w:type="spellEnd"/>
      <w:r w:rsidR="007832CF">
        <w:rPr>
          <w:rFonts w:ascii="Times New Roman" w:hAnsi="Times New Roman" w:cs="Times New Roman"/>
          <w:iCs/>
        </w:rPr>
        <w:t>,</w:t>
      </w:r>
      <w:r w:rsidRPr="00485A08">
        <w:rPr>
          <w:rFonts w:ascii="Times New Roman" w:hAnsi="Times New Roman" w:cs="Times New Roman"/>
          <w:i/>
        </w:rPr>
        <w:t xml:space="preserve"> </w:t>
      </w:r>
      <w:r w:rsidR="003A7120" w:rsidRPr="00485A08">
        <w:rPr>
          <w:rFonts w:ascii="Times New Roman" w:hAnsi="Times New Roman" w:cs="Times New Roman"/>
          <w:iCs/>
        </w:rPr>
        <w:t>above n 36</w:t>
      </w:r>
      <w:r w:rsidR="007832CF">
        <w:rPr>
          <w:rFonts w:ascii="Times New Roman" w:hAnsi="Times New Roman" w:cs="Times New Roman"/>
          <w:iCs/>
        </w:rPr>
        <w:t>,</w:t>
      </w:r>
      <w:r w:rsidR="003A7120" w:rsidRPr="00485A08">
        <w:rPr>
          <w:rFonts w:ascii="Times New Roman" w:hAnsi="Times New Roman" w:cs="Times New Roman"/>
          <w:iCs/>
        </w:rPr>
        <w:t xml:space="preserve"> </w:t>
      </w:r>
      <w:r w:rsidRPr="00485A08">
        <w:rPr>
          <w:rFonts w:ascii="Times New Roman" w:hAnsi="Times New Roman" w:cs="Times New Roman"/>
        </w:rPr>
        <w:t xml:space="preserve">as authority. It appears from the judgment in </w:t>
      </w:r>
      <w:r w:rsidRPr="00485A08">
        <w:rPr>
          <w:rFonts w:ascii="Times New Roman" w:hAnsi="Times New Roman" w:cs="Times New Roman"/>
          <w:i/>
        </w:rPr>
        <w:t>Edgar</w:t>
      </w:r>
      <w:r w:rsidR="001241AD">
        <w:rPr>
          <w:rFonts w:ascii="Times New Roman" w:hAnsi="Times New Roman" w:cs="Times New Roman"/>
          <w:iCs/>
        </w:rPr>
        <w:t>, above n 32,</w:t>
      </w:r>
      <w:r w:rsidRPr="00485A08">
        <w:rPr>
          <w:rFonts w:ascii="Times New Roman" w:hAnsi="Times New Roman" w:cs="Times New Roman"/>
        </w:rPr>
        <w:t xml:space="preserve"> that the argument of accommodation was made in relation to s 351(1), rather than s 342(1), although that is not without doubt. </w:t>
      </w:r>
      <w:r w:rsidRPr="00485A08">
        <w:rPr>
          <w:rFonts w:ascii="Times New Roman" w:hAnsi="Times New Roman" w:cs="Times New Roman"/>
          <w:i/>
        </w:rPr>
        <w:t>Edgar</w:t>
      </w:r>
      <w:r w:rsidRPr="00485A08">
        <w:rPr>
          <w:rFonts w:ascii="Times New Roman" w:hAnsi="Times New Roman" w:cs="Times New Roman"/>
        </w:rPr>
        <w:t xml:space="preserve"> related to interlocutory applications regarding the pleadings, and the claimant was ultimately permitted to seek leave to file a second amended statement of claim.</w:t>
      </w:r>
    </w:p>
  </w:footnote>
  <w:footnote w:id="48">
    <w:p w14:paraId="32026A0B" w14:textId="248BBB13"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proofErr w:type="spellStart"/>
      <w:r w:rsidRPr="00485A08">
        <w:rPr>
          <w:rFonts w:ascii="Times New Roman" w:hAnsi="Times New Roman" w:cs="Times New Roman"/>
          <w:i/>
        </w:rPr>
        <w:t>Kubat</w:t>
      </w:r>
      <w:proofErr w:type="spellEnd"/>
      <w:r w:rsidR="0068689A" w:rsidRPr="00BC2B25">
        <w:rPr>
          <w:rFonts w:ascii="Times New Roman" w:hAnsi="Times New Roman" w:cs="Times New Roman"/>
          <w:iCs/>
        </w:rPr>
        <w:t>,</w:t>
      </w:r>
      <w:r w:rsidR="000A22AD" w:rsidRPr="00485A08">
        <w:rPr>
          <w:rFonts w:ascii="Times New Roman" w:hAnsi="Times New Roman" w:cs="Times New Roman"/>
          <w:iCs/>
        </w:rPr>
        <w:t xml:space="preserve"> above n 32, at</w:t>
      </w:r>
      <w:r w:rsidRPr="00485A08">
        <w:rPr>
          <w:rFonts w:ascii="Times New Roman" w:hAnsi="Times New Roman" w:cs="Times New Roman"/>
          <w:i/>
        </w:rPr>
        <w:t xml:space="preserve"> </w:t>
      </w:r>
      <w:r w:rsidRPr="00485A08">
        <w:rPr>
          <w:rFonts w:ascii="Times New Roman" w:hAnsi="Times New Roman" w:cs="Times New Roman"/>
        </w:rPr>
        <w:t>[73]. The judgment did not explicitly address the question of accommodation and the meaning of ‘adverse action’ in s 342(1).</w:t>
      </w:r>
    </w:p>
  </w:footnote>
  <w:footnote w:id="49">
    <w:p w14:paraId="32026A0C" w14:textId="6C6CC455"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proofErr w:type="spellStart"/>
      <w:r w:rsidRPr="00485A08">
        <w:rPr>
          <w:rFonts w:ascii="Times New Roman" w:hAnsi="Times New Roman" w:cs="Times New Roman"/>
          <w:i/>
        </w:rPr>
        <w:t>Mikulic</w:t>
      </w:r>
      <w:proofErr w:type="spellEnd"/>
      <w:r w:rsidR="000A22AD" w:rsidRPr="00485A08">
        <w:rPr>
          <w:rFonts w:ascii="Times New Roman" w:hAnsi="Times New Roman" w:cs="Times New Roman"/>
          <w:iCs/>
        </w:rPr>
        <w:t>, above n 32, at</w:t>
      </w:r>
      <w:r w:rsidR="000A22AD" w:rsidRPr="00485A08">
        <w:rPr>
          <w:rFonts w:ascii="Times New Roman" w:hAnsi="Times New Roman" w:cs="Times New Roman"/>
        </w:rPr>
        <w:t xml:space="preserve"> </w:t>
      </w:r>
      <w:r w:rsidRPr="00485A08">
        <w:rPr>
          <w:rFonts w:ascii="Times New Roman" w:hAnsi="Times New Roman" w:cs="Times New Roman"/>
        </w:rPr>
        <w:t xml:space="preserve">[230].  </w:t>
      </w:r>
    </w:p>
  </w:footnote>
  <w:footnote w:id="50">
    <w:p w14:paraId="32026A0D" w14:textId="5919DB39" w:rsidR="00526B9C" w:rsidRPr="00485A08" w:rsidRDefault="00543F23" w:rsidP="00485A08">
      <w:pPr>
        <w:spacing w:after="0"/>
        <w:jc w:val="both"/>
        <w:rPr>
          <w:rFonts w:ascii="Times New Roman" w:hAnsi="Times New Roman" w:cs="Times New Roman"/>
          <w:sz w:val="20"/>
          <w:szCs w:val="20"/>
        </w:rPr>
      </w:pPr>
      <w:r w:rsidRPr="00485A08">
        <w:rPr>
          <w:rStyle w:val="FootnoteReference"/>
          <w:rFonts w:ascii="Times New Roman" w:hAnsi="Times New Roman" w:cs="Times New Roman"/>
          <w:sz w:val="20"/>
          <w:szCs w:val="20"/>
        </w:rPr>
        <w:footnoteRef/>
      </w:r>
      <w:r w:rsidRPr="00485A08">
        <w:rPr>
          <w:rFonts w:ascii="Times New Roman" w:hAnsi="Times New Roman" w:cs="Times New Roman"/>
          <w:sz w:val="20"/>
          <w:szCs w:val="20"/>
        </w:rPr>
        <w:t xml:space="preserve"> </w:t>
      </w:r>
      <w:r w:rsidR="001241AD">
        <w:rPr>
          <w:rFonts w:ascii="Times New Roman" w:hAnsi="Times New Roman" w:cs="Times New Roman"/>
          <w:sz w:val="20"/>
          <w:szCs w:val="20"/>
        </w:rPr>
        <w:t>Ibid</w:t>
      </w:r>
      <w:r w:rsidR="00072FAC" w:rsidRPr="00485A08">
        <w:rPr>
          <w:rFonts w:ascii="Times New Roman" w:hAnsi="Times New Roman" w:cs="Times New Roman"/>
          <w:sz w:val="20"/>
          <w:szCs w:val="20"/>
        </w:rPr>
        <w:t xml:space="preserve"> (formatting </w:t>
      </w:r>
      <w:r w:rsidR="003C705E" w:rsidRPr="00485A08">
        <w:rPr>
          <w:rFonts w:ascii="Times New Roman" w:hAnsi="Times New Roman" w:cs="Times New Roman"/>
          <w:sz w:val="20"/>
          <w:szCs w:val="20"/>
        </w:rPr>
        <w:t xml:space="preserve">as </w:t>
      </w:r>
      <w:r w:rsidR="00E307E4">
        <w:rPr>
          <w:rFonts w:ascii="Times New Roman" w:hAnsi="Times New Roman" w:cs="Times New Roman"/>
          <w:sz w:val="20"/>
          <w:szCs w:val="20"/>
        </w:rPr>
        <w:t>in</w:t>
      </w:r>
      <w:r w:rsidR="003C705E" w:rsidRPr="00485A08">
        <w:rPr>
          <w:rFonts w:ascii="Times New Roman" w:hAnsi="Times New Roman" w:cs="Times New Roman"/>
          <w:sz w:val="20"/>
          <w:szCs w:val="20"/>
        </w:rPr>
        <w:t xml:space="preserve"> </w:t>
      </w:r>
      <w:r w:rsidR="00072FAC" w:rsidRPr="00485A08">
        <w:rPr>
          <w:rFonts w:ascii="Times New Roman" w:hAnsi="Times New Roman" w:cs="Times New Roman"/>
          <w:sz w:val="20"/>
          <w:szCs w:val="20"/>
        </w:rPr>
        <w:t>original)</w:t>
      </w:r>
      <w:r w:rsidRPr="00485A08">
        <w:rPr>
          <w:rFonts w:ascii="Times New Roman" w:hAnsi="Times New Roman" w:cs="Times New Roman"/>
          <w:sz w:val="20"/>
          <w:szCs w:val="20"/>
        </w:rPr>
        <w:t>. See also</w:t>
      </w:r>
      <w:r w:rsidR="00371F3D" w:rsidRPr="00485A08">
        <w:rPr>
          <w:rFonts w:ascii="Times New Roman" w:hAnsi="Times New Roman" w:cs="Times New Roman"/>
          <w:sz w:val="20"/>
          <w:szCs w:val="20"/>
        </w:rPr>
        <w:t xml:space="preserve"> </w:t>
      </w:r>
      <w:r w:rsidR="00A50A11" w:rsidRPr="00485A08">
        <w:rPr>
          <w:rFonts w:ascii="Times New Roman" w:hAnsi="Times New Roman" w:cs="Times New Roman"/>
          <w:sz w:val="20"/>
          <w:szCs w:val="20"/>
        </w:rPr>
        <w:t>at</w:t>
      </w:r>
      <w:r w:rsidRPr="00485A08">
        <w:rPr>
          <w:rFonts w:ascii="Times New Roman" w:hAnsi="Times New Roman" w:cs="Times New Roman"/>
          <w:sz w:val="20"/>
          <w:szCs w:val="20"/>
        </w:rPr>
        <w:t xml:space="preserve"> [238]. The court determined that the reasons why Ecolab dismissed Ms </w:t>
      </w:r>
      <w:proofErr w:type="spellStart"/>
      <w:r w:rsidRPr="00485A08">
        <w:rPr>
          <w:rFonts w:ascii="Times New Roman" w:hAnsi="Times New Roman" w:cs="Times New Roman"/>
          <w:sz w:val="20"/>
          <w:szCs w:val="20"/>
        </w:rPr>
        <w:t>Mikulic</w:t>
      </w:r>
      <w:proofErr w:type="spellEnd"/>
      <w:r w:rsidRPr="00485A08">
        <w:rPr>
          <w:rFonts w:ascii="Times New Roman" w:hAnsi="Times New Roman" w:cs="Times New Roman"/>
          <w:sz w:val="20"/>
          <w:szCs w:val="20"/>
        </w:rPr>
        <w:t xml:space="preserve"> did not include the reason of her disability in the sense required by Part 3-1, and her application was dismissed.</w:t>
      </w:r>
    </w:p>
  </w:footnote>
  <w:footnote w:id="51">
    <w:p w14:paraId="32026A0E" w14:textId="4FFC0B13"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A standalone duty has been recommended by others: Allen, above n 8. </w:t>
      </w:r>
    </w:p>
  </w:footnote>
  <w:footnote w:id="52">
    <w:p w14:paraId="32026A0F" w14:textId="145CBD02"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See</w:t>
      </w:r>
      <w:r w:rsidR="00D86868" w:rsidRPr="00485A08">
        <w:rPr>
          <w:rFonts w:ascii="Times New Roman" w:hAnsi="Times New Roman" w:cs="Times New Roman"/>
        </w:rPr>
        <w:t>,</w:t>
      </w:r>
      <w:r w:rsidRPr="00485A08">
        <w:rPr>
          <w:rFonts w:ascii="Times New Roman" w:hAnsi="Times New Roman" w:cs="Times New Roman"/>
        </w:rPr>
        <w:t xml:space="preserve"> eg, EO</w:t>
      </w:r>
      <w:r w:rsidR="006740C0" w:rsidRPr="00485A08">
        <w:rPr>
          <w:rFonts w:ascii="Times New Roman" w:hAnsi="Times New Roman" w:cs="Times New Roman"/>
        </w:rPr>
        <w:t xml:space="preserve"> </w:t>
      </w:r>
      <w:r w:rsidRPr="00485A08">
        <w:rPr>
          <w:rFonts w:ascii="Times New Roman" w:hAnsi="Times New Roman" w:cs="Times New Roman"/>
        </w:rPr>
        <w:t>A</w:t>
      </w:r>
      <w:r w:rsidR="006740C0" w:rsidRPr="00485A08">
        <w:rPr>
          <w:rFonts w:ascii="Times New Roman" w:hAnsi="Times New Roman" w:cs="Times New Roman"/>
        </w:rPr>
        <w:t>ct</w:t>
      </w:r>
      <w:r w:rsidRPr="00485A08">
        <w:rPr>
          <w:rFonts w:ascii="Times New Roman" w:hAnsi="Times New Roman" w:cs="Times New Roman"/>
        </w:rPr>
        <w:t xml:space="preserve"> (Vic) s</w:t>
      </w:r>
      <w:r w:rsidR="00A132DA" w:rsidRPr="00485A08">
        <w:rPr>
          <w:rFonts w:ascii="Times New Roman" w:hAnsi="Times New Roman" w:cs="Times New Roman"/>
        </w:rPr>
        <w:t>s</w:t>
      </w:r>
      <w:r w:rsidRPr="00485A08">
        <w:rPr>
          <w:rFonts w:ascii="Times New Roman" w:hAnsi="Times New Roman" w:cs="Times New Roman"/>
        </w:rPr>
        <w:t xml:space="preserve"> 19,</w:t>
      </w:r>
      <w:r w:rsidR="000E6B0C">
        <w:rPr>
          <w:rFonts w:ascii="Times New Roman" w:hAnsi="Times New Roman" w:cs="Times New Roman"/>
        </w:rPr>
        <w:t xml:space="preserve"> </w:t>
      </w:r>
      <w:r w:rsidRPr="00485A08">
        <w:rPr>
          <w:rFonts w:ascii="Times New Roman" w:hAnsi="Times New Roman" w:cs="Times New Roman"/>
        </w:rPr>
        <w:t xml:space="preserve">20(2); DDA s 21A. For commentary, see N Rees, S Rice and D Allen, </w:t>
      </w:r>
      <w:r w:rsidRPr="00485A08">
        <w:rPr>
          <w:rFonts w:ascii="Times New Roman" w:hAnsi="Times New Roman" w:cs="Times New Roman"/>
          <w:i/>
        </w:rPr>
        <w:t>Australian Anti-Discrimination &amp; Equal Opportunity Law</w:t>
      </w:r>
      <w:r w:rsidRPr="00485A08">
        <w:rPr>
          <w:rFonts w:ascii="Times New Roman" w:hAnsi="Times New Roman" w:cs="Times New Roman"/>
        </w:rPr>
        <w:t xml:space="preserve">, </w:t>
      </w:r>
      <w:r w:rsidR="00B30FDE" w:rsidRPr="00485A08">
        <w:rPr>
          <w:rFonts w:ascii="Times New Roman" w:hAnsi="Times New Roman" w:cs="Times New Roman"/>
        </w:rPr>
        <w:t>3</w:t>
      </w:r>
      <w:r w:rsidR="00B30FDE" w:rsidRPr="00485A08">
        <w:rPr>
          <w:rFonts w:ascii="Times New Roman" w:hAnsi="Times New Roman" w:cs="Times New Roman"/>
          <w:vertAlign w:val="superscript"/>
        </w:rPr>
        <w:t>rd</w:t>
      </w:r>
      <w:r w:rsidR="00B30FDE" w:rsidRPr="00485A08">
        <w:rPr>
          <w:rFonts w:ascii="Times New Roman" w:hAnsi="Times New Roman" w:cs="Times New Roman"/>
        </w:rPr>
        <w:t xml:space="preserve"> ed, </w:t>
      </w:r>
      <w:r w:rsidRPr="00485A08">
        <w:rPr>
          <w:rFonts w:ascii="Times New Roman" w:hAnsi="Times New Roman" w:cs="Times New Roman"/>
        </w:rPr>
        <w:t>Federation Press, Sydney, 2018,</w:t>
      </w:r>
      <w:r w:rsidR="00BA23AC" w:rsidRPr="00485A08">
        <w:rPr>
          <w:rFonts w:ascii="Times New Roman" w:hAnsi="Times New Roman" w:cs="Times New Roman"/>
        </w:rPr>
        <w:t xml:space="preserve"> at p</w:t>
      </w:r>
      <w:r w:rsidR="00A07D87">
        <w:rPr>
          <w:rFonts w:ascii="Times New Roman" w:hAnsi="Times New Roman" w:cs="Times New Roman"/>
        </w:rPr>
        <w:t>p</w:t>
      </w:r>
      <w:r w:rsidR="00BA23AC" w:rsidRPr="00485A08">
        <w:rPr>
          <w:rFonts w:ascii="Times New Roman" w:hAnsi="Times New Roman" w:cs="Times New Roman"/>
        </w:rPr>
        <w:t xml:space="preserve"> 358–99; </w:t>
      </w:r>
      <w:r w:rsidRPr="00485A08">
        <w:rPr>
          <w:rFonts w:ascii="Times New Roman" w:hAnsi="Times New Roman" w:cs="Times New Roman"/>
        </w:rPr>
        <w:t xml:space="preserve">Gaze and Smith, above n 5, </w:t>
      </w:r>
      <w:r w:rsidR="00112490" w:rsidRPr="00485A08">
        <w:rPr>
          <w:rFonts w:ascii="Times New Roman" w:hAnsi="Times New Roman" w:cs="Times New Roman"/>
        </w:rPr>
        <w:t>at p</w:t>
      </w:r>
      <w:r w:rsidR="007A511F" w:rsidRPr="00485A08">
        <w:rPr>
          <w:rFonts w:ascii="Times New Roman" w:hAnsi="Times New Roman" w:cs="Times New Roman"/>
        </w:rPr>
        <w:t>p</w:t>
      </w:r>
      <w:r w:rsidR="00112490" w:rsidRPr="00485A08">
        <w:rPr>
          <w:rFonts w:ascii="Times New Roman" w:hAnsi="Times New Roman" w:cs="Times New Roman"/>
        </w:rPr>
        <w:t xml:space="preserve"> 125–9, 160–1</w:t>
      </w:r>
      <w:r w:rsidR="00E92E4C" w:rsidRPr="00485A08">
        <w:rPr>
          <w:rFonts w:ascii="Times New Roman" w:hAnsi="Times New Roman" w:cs="Times New Roman"/>
        </w:rPr>
        <w:t>.</w:t>
      </w:r>
    </w:p>
  </w:footnote>
  <w:footnote w:id="53">
    <w:p w14:paraId="32026A10" w14:textId="725AE2C5" w:rsidR="00526B9C" w:rsidRPr="00485A08" w:rsidRDefault="00543F23" w:rsidP="00485A08">
      <w:pPr>
        <w:keepLines/>
        <w:spacing w:after="0" w:line="240" w:lineRule="auto"/>
        <w:jc w:val="both"/>
        <w:rPr>
          <w:rFonts w:ascii="Times New Roman" w:hAnsi="Times New Roman" w:cs="Times New Roman"/>
          <w:sz w:val="20"/>
          <w:szCs w:val="20"/>
        </w:rPr>
      </w:pPr>
      <w:r w:rsidRPr="00485A08">
        <w:rPr>
          <w:rStyle w:val="FootnoteReference"/>
          <w:rFonts w:ascii="Times New Roman" w:hAnsi="Times New Roman" w:cs="Times New Roman"/>
          <w:sz w:val="20"/>
          <w:szCs w:val="20"/>
        </w:rPr>
        <w:footnoteRef/>
      </w:r>
      <w:r w:rsidRPr="00485A08">
        <w:rPr>
          <w:rFonts w:ascii="Times New Roman" w:hAnsi="Times New Roman" w:cs="Times New Roman"/>
          <w:sz w:val="20"/>
          <w:szCs w:val="20"/>
        </w:rPr>
        <w:t xml:space="preserve"> </w:t>
      </w:r>
      <w:r w:rsidRPr="00485A08">
        <w:rPr>
          <w:rFonts w:ascii="Times New Roman" w:hAnsi="Times New Roman" w:cs="Times New Roman"/>
          <w:color w:val="1F1923"/>
          <w:sz w:val="20"/>
          <w:szCs w:val="20"/>
          <w:lang w:val="en"/>
        </w:rPr>
        <w:t>AHRC</w:t>
      </w:r>
      <w:r w:rsidRPr="00485A08">
        <w:rPr>
          <w:rFonts w:ascii="Times New Roman" w:hAnsi="Times New Roman" w:cs="Times New Roman"/>
          <w:sz w:val="20"/>
          <w:szCs w:val="20"/>
        </w:rPr>
        <w:t xml:space="preserve">, </w:t>
      </w:r>
      <w:r w:rsidRPr="00485A08">
        <w:rPr>
          <w:rFonts w:ascii="Times New Roman" w:hAnsi="Times New Roman" w:cs="Times New Roman"/>
          <w:i/>
          <w:sz w:val="20"/>
          <w:szCs w:val="20"/>
        </w:rPr>
        <w:t>Everybody’s Business: Fourth National Survey on Sexual Harassment in Australian Workplaces</w:t>
      </w:r>
      <w:r w:rsidRPr="00485A08">
        <w:rPr>
          <w:rFonts w:ascii="Times New Roman" w:hAnsi="Times New Roman" w:cs="Times New Roman"/>
          <w:sz w:val="20"/>
          <w:szCs w:val="20"/>
        </w:rPr>
        <w:t xml:space="preserve">, AHRC, Sydney, 2018, </w:t>
      </w:r>
      <w:r w:rsidR="00EB6E69" w:rsidRPr="00485A08">
        <w:rPr>
          <w:rFonts w:ascii="Times New Roman" w:hAnsi="Times New Roman" w:cs="Times New Roman"/>
          <w:sz w:val="20"/>
          <w:szCs w:val="20"/>
        </w:rPr>
        <w:t xml:space="preserve">at </w:t>
      </w:r>
      <w:r w:rsidRPr="00485A08">
        <w:rPr>
          <w:rFonts w:ascii="Times New Roman" w:hAnsi="Times New Roman" w:cs="Times New Roman"/>
          <w:sz w:val="20"/>
          <w:szCs w:val="20"/>
        </w:rPr>
        <w:t>32</w:t>
      </w:r>
      <w:r w:rsidR="00BF74E4" w:rsidRPr="00485A08">
        <w:rPr>
          <w:rFonts w:ascii="Times New Roman" w:hAnsi="Times New Roman" w:cs="Times New Roman"/>
          <w:sz w:val="20"/>
          <w:szCs w:val="20"/>
        </w:rPr>
        <w:t>–</w:t>
      </w:r>
      <w:r w:rsidRPr="00485A08">
        <w:rPr>
          <w:rFonts w:ascii="Times New Roman" w:hAnsi="Times New Roman" w:cs="Times New Roman"/>
          <w:sz w:val="20"/>
          <w:szCs w:val="20"/>
        </w:rPr>
        <w:t>4,</w:t>
      </w:r>
      <w:r w:rsidR="00A51DB7" w:rsidRPr="00485A08">
        <w:rPr>
          <w:rFonts w:ascii="Times New Roman" w:hAnsi="Times New Roman" w:cs="Times New Roman"/>
          <w:sz w:val="20"/>
          <w:szCs w:val="20"/>
        </w:rPr>
        <w:t xml:space="preserve"> </w:t>
      </w:r>
      <w:r w:rsidRPr="00485A08">
        <w:rPr>
          <w:rFonts w:ascii="Times New Roman" w:hAnsi="Times New Roman" w:cs="Times New Roman"/>
          <w:sz w:val="20"/>
          <w:szCs w:val="20"/>
        </w:rPr>
        <w:t>59</w:t>
      </w:r>
      <w:r w:rsidR="00B63049" w:rsidRPr="00485A08">
        <w:rPr>
          <w:rFonts w:ascii="Times New Roman" w:hAnsi="Times New Roman" w:cs="Times New Roman"/>
          <w:sz w:val="20"/>
          <w:szCs w:val="20"/>
        </w:rPr>
        <w:t>–</w:t>
      </w:r>
      <w:r w:rsidRPr="00485A08">
        <w:rPr>
          <w:rFonts w:ascii="Times New Roman" w:hAnsi="Times New Roman" w:cs="Times New Roman"/>
          <w:sz w:val="20"/>
          <w:szCs w:val="20"/>
        </w:rPr>
        <w:t xml:space="preserve">60. </w:t>
      </w:r>
    </w:p>
  </w:footnote>
  <w:footnote w:id="54">
    <w:p w14:paraId="32026A11" w14:textId="1E4D6DF7"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Gaze and Smith, above n 5, </w:t>
      </w:r>
      <w:r w:rsidR="00417376" w:rsidRPr="00485A08">
        <w:rPr>
          <w:rFonts w:ascii="Times New Roman" w:hAnsi="Times New Roman" w:cs="Times New Roman"/>
        </w:rPr>
        <w:t xml:space="preserve">at </w:t>
      </w:r>
      <w:r w:rsidR="00E95A4F">
        <w:rPr>
          <w:rFonts w:ascii="Times New Roman" w:hAnsi="Times New Roman" w:cs="Times New Roman"/>
        </w:rPr>
        <w:t xml:space="preserve">p </w:t>
      </w:r>
      <w:r w:rsidRPr="00485A08">
        <w:rPr>
          <w:rFonts w:ascii="Times New Roman" w:hAnsi="Times New Roman" w:cs="Times New Roman"/>
        </w:rPr>
        <w:t xml:space="preserve">131; M Thornton, ‘Sexual Harassment Losing Sight of Sex Discrimination’ </w:t>
      </w:r>
      <w:r w:rsidR="00941D9D" w:rsidRPr="00485A08">
        <w:rPr>
          <w:rFonts w:ascii="Times New Roman" w:hAnsi="Times New Roman" w:cs="Times New Roman"/>
        </w:rPr>
        <w:t>(</w:t>
      </w:r>
      <w:r w:rsidR="00090297" w:rsidRPr="00485A08">
        <w:rPr>
          <w:rFonts w:ascii="Times New Roman" w:hAnsi="Times New Roman" w:cs="Times New Roman"/>
        </w:rPr>
        <w:t>2002)</w:t>
      </w:r>
      <w:r w:rsidRPr="00485A08">
        <w:rPr>
          <w:rFonts w:ascii="Times New Roman" w:hAnsi="Times New Roman" w:cs="Times New Roman"/>
        </w:rPr>
        <w:t xml:space="preserve"> 26 </w:t>
      </w:r>
      <w:r w:rsidRPr="00485A08">
        <w:rPr>
          <w:rFonts w:ascii="Times New Roman" w:hAnsi="Times New Roman" w:cs="Times New Roman"/>
          <w:i/>
        </w:rPr>
        <w:t>MULR</w:t>
      </w:r>
      <w:r w:rsidRPr="00485A08">
        <w:rPr>
          <w:rFonts w:ascii="Times New Roman" w:hAnsi="Times New Roman" w:cs="Times New Roman"/>
        </w:rPr>
        <w:t xml:space="preserve"> 422. </w:t>
      </w:r>
    </w:p>
  </w:footnote>
  <w:footnote w:id="55">
    <w:p w14:paraId="32026A12" w14:textId="44CBA1DC"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See</w:t>
      </w:r>
      <w:r w:rsidR="00D86868" w:rsidRPr="00485A08">
        <w:rPr>
          <w:rFonts w:ascii="Times New Roman" w:hAnsi="Times New Roman" w:cs="Times New Roman"/>
        </w:rPr>
        <w:t>,</w:t>
      </w:r>
      <w:r w:rsidRPr="00485A08">
        <w:rPr>
          <w:rFonts w:ascii="Times New Roman" w:hAnsi="Times New Roman" w:cs="Times New Roman"/>
        </w:rPr>
        <w:t xml:space="preserve"> eg, AHRC, </w:t>
      </w:r>
      <w:r w:rsidRPr="00485A08">
        <w:rPr>
          <w:rFonts w:ascii="Times New Roman" w:hAnsi="Times New Roman" w:cs="Times New Roman"/>
          <w:i/>
        </w:rPr>
        <w:t>Freedom from Discrimination: Report on the 40</w:t>
      </w:r>
      <w:r w:rsidRPr="00485A08">
        <w:rPr>
          <w:rFonts w:ascii="Times New Roman" w:hAnsi="Times New Roman" w:cs="Times New Roman"/>
          <w:i/>
          <w:vertAlign w:val="superscript"/>
        </w:rPr>
        <w:t>th</w:t>
      </w:r>
      <w:r w:rsidRPr="00485A08">
        <w:rPr>
          <w:rFonts w:ascii="Times New Roman" w:hAnsi="Times New Roman" w:cs="Times New Roman"/>
          <w:i/>
        </w:rPr>
        <w:t xml:space="preserve"> Anniversary of the Racial Discrimination Act</w:t>
      </w:r>
      <w:r w:rsidRPr="00485A08">
        <w:rPr>
          <w:rFonts w:ascii="Times New Roman" w:hAnsi="Times New Roman" w:cs="Times New Roman"/>
        </w:rPr>
        <w:t xml:space="preserve">, </w:t>
      </w:r>
      <w:r w:rsidR="005B48F2">
        <w:rPr>
          <w:rFonts w:ascii="Times New Roman" w:hAnsi="Times New Roman" w:cs="Times New Roman"/>
        </w:rPr>
        <w:t xml:space="preserve">National Consultation Report, </w:t>
      </w:r>
      <w:r w:rsidRPr="00485A08">
        <w:rPr>
          <w:rFonts w:ascii="Times New Roman" w:hAnsi="Times New Roman" w:cs="Times New Roman"/>
        </w:rPr>
        <w:t xml:space="preserve">AHRC, Sydney, 2015, chap 4; AHRC, </w:t>
      </w:r>
      <w:r w:rsidRPr="00485A08">
        <w:rPr>
          <w:rFonts w:ascii="Times New Roman" w:hAnsi="Times New Roman" w:cs="Times New Roman"/>
          <w:i/>
        </w:rPr>
        <w:t xml:space="preserve">Willing to Work: National Inquiry into Employment Discrimination </w:t>
      </w:r>
      <w:r w:rsidR="00ED0DF8">
        <w:rPr>
          <w:rFonts w:ascii="Times New Roman" w:hAnsi="Times New Roman" w:cs="Times New Roman"/>
          <w:i/>
        </w:rPr>
        <w:t>a</w:t>
      </w:r>
      <w:r w:rsidRPr="00485A08">
        <w:rPr>
          <w:rFonts w:ascii="Times New Roman" w:hAnsi="Times New Roman" w:cs="Times New Roman"/>
          <w:i/>
        </w:rPr>
        <w:t>gainst Older Australians and Australians with Disability</w:t>
      </w:r>
      <w:r w:rsidRPr="00485A08">
        <w:rPr>
          <w:rFonts w:ascii="Times New Roman" w:hAnsi="Times New Roman" w:cs="Times New Roman"/>
        </w:rPr>
        <w:t>, AHRC, Sydney, 2016, chap 4.</w:t>
      </w:r>
    </w:p>
  </w:footnote>
  <w:footnote w:id="56">
    <w:p w14:paraId="32026A13" w14:textId="79068103"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Gaze and Smith, above n 5, </w:t>
      </w:r>
      <w:r w:rsidR="00E95A4F">
        <w:rPr>
          <w:rFonts w:ascii="Times New Roman" w:hAnsi="Times New Roman" w:cs="Times New Roman"/>
        </w:rPr>
        <w:t xml:space="preserve">at </w:t>
      </w:r>
      <w:r w:rsidR="00A31C3F" w:rsidRPr="00485A08">
        <w:rPr>
          <w:rFonts w:ascii="Times New Roman" w:hAnsi="Times New Roman" w:cs="Times New Roman"/>
        </w:rPr>
        <w:t xml:space="preserve">p </w:t>
      </w:r>
      <w:r w:rsidRPr="00485A08">
        <w:rPr>
          <w:rFonts w:ascii="Times New Roman" w:hAnsi="Times New Roman" w:cs="Times New Roman"/>
        </w:rPr>
        <w:t>131.</w:t>
      </w:r>
    </w:p>
  </w:footnote>
  <w:footnote w:id="57">
    <w:p w14:paraId="32026A14" w14:textId="530D4E3C"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See text accompanying </w:t>
      </w:r>
      <w:proofErr w:type="spellStart"/>
      <w:r w:rsidR="00DC13ED">
        <w:rPr>
          <w:rFonts w:ascii="Times New Roman" w:hAnsi="Times New Roman" w:cs="Times New Roman"/>
        </w:rPr>
        <w:t>n</w:t>
      </w:r>
      <w:r w:rsidR="004A4A9F" w:rsidRPr="00485A08">
        <w:rPr>
          <w:rFonts w:ascii="Times New Roman" w:hAnsi="Times New Roman" w:cs="Times New Roman"/>
        </w:rPr>
        <w:t>n</w:t>
      </w:r>
      <w:proofErr w:type="spellEnd"/>
      <w:r w:rsidRPr="00485A08">
        <w:rPr>
          <w:rFonts w:ascii="Times New Roman" w:hAnsi="Times New Roman" w:cs="Times New Roman"/>
        </w:rPr>
        <w:t xml:space="preserve"> 16</w:t>
      </w:r>
      <w:r w:rsidR="003C2A68" w:rsidRPr="00485A08">
        <w:rPr>
          <w:rFonts w:ascii="Times New Roman" w:hAnsi="Times New Roman" w:cs="Times New Roman"/>
        </w:rPr>
        <w:t>–</w:t>
      </w:r>
      <w:r w:rsidR="00DC13ED">
        <w:rPr>
          <w:rFonts w:ascii="Times New Roman" w:hAnsi="Times New Roman" w:cs="Times New Roman"/>
        </w:rPr>
        <w:t>1</w:t>
      </w:r>
      <w:r w:rsidRPr="00485A08">
        <w:rPr>
          <w:rFonts w:ascii="Times New Roman" w:hAnsi="Times New Roman" w:cs="Times New Roman"/>
        </w:rPr>
        <w:t xml:space="preserve">9. </w:t>
      </w:r>
    </w:p>
  </w:footnote>
  <w:footnote w:id="58">
    <w:p w14:paraId="32026A15" w14:textId="5836ACAD"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AHRC</w:t>
      </w:r>
      <w:r w:rsidR="00A51DB7" w:rsidRPr="00485A08">
        <w:rPr>
          <w:rFonts w:ascii="Times New Roman" w:hAnsi="Times New Roman" w:cs="Times New Roman"/>
        </w:rPr>
        <w:t>,</w:t>
      </w:r>
      <w:r w:rsidRPr="00485A08">
        <w:rPr>
          <w:rFonts w:ascii="Times New Roman" w:hAnsi="Times New Roman" w:cs="Times New Roman"/>
        </w:rPr>
        <w:t xml:space="preserve"> </w:t>
      </w:r>
      <w:r w:rsidR="00DC13ED" w:rsidRPr="00485A08">
        <w:rPr>
          <w:rFonts w:ascii="Times New Roman" w:hAnsi="Times New Roman" w:cs="Times New Roman"/>
          <w:i/>
        </w:rPr>
        <w:t>Everybody’s Business</w:t>
      </w:r>
      <w:r w:rsidR="00DC13ED">
        <w:rPr>
          <w:rFonts w:ascii="Times New Roman" w:hAnsi="Times New Roman" w:cs="Times New Roman"/>
          <w:iCs/>
        </w:rPr>
        <w:t>,</w:t>
      </w:r>
      <w:r w:rsidR="00DC13ED" w:rsidRPr="00485A08">
        <w:rPr>
          <w:rFonts w:ascii="Times New Roman" w:hAnsi="Times New Roman" w:cs="Times New Roman"/>
        </w:rPr>
        <w:t xml:space="preserve"> </w:t>
      </w:r>
      <w:r w:rsidRPr="00485A08">
        <w:rPr>
          <w:rFonts w:ascii="Times New Roman" w:hAnsi="Times New Roman" w:cs="Times New Roman"/>
        </w:rPr>
        <w:t xml:space="preserve">above n 53, </w:t>
      </w:r>
      <w:r w:rsidR="00A51DB7" w:rsidRPr="00485A08">
        <w:rPr>
          <w:rFonts w:ascii="Times New Roman" w:hAnsi="Times New Roman" w:cs="Times New Roman"/>
        </w:rPr>
        <w:t xml:space="preserve">at </w:t>
      </w:r>
      <w:r w:rsidRPr="00485A08">
        <w:rPr>
          <w:rFonts w:ascii="Times New Roman" w:hAnsi="Times New Roman" w:cs="Times New Roman"/>
        </w:rPr>
        <w:t>59</w:t>
      </w:r>
      <w:r w:rsidR="00B63049" w:rsidRPr="00485A08">
        <w:rPr>
          <w:rFonts w:ascii="Times New Roman" w:hAnsi="Times New Roman" w:cs="Times New Roman"/>
        </w:rPr>
        <w:t>–</w:t>
      </w:r>
      <w:r w:rsidRPr="00485A08">
        <w:rPr>
          <w:rFonts w:ascii="Times New Roman" w:hAnsi="Times New Roman" w:cs="Times New Roman"/>
        </w:rPr>
        <w:t>62.</w:t>
      </w:r>
    </w:p>
  </w:footnote>
  <w:footnote w:id="59">
    <w:p w14:paraId="32026A16" w14:textId="06F3B161"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bookmarkStart w:id="3" w:name="_Hlk23750953"/>
      <w:r w:rsidRPr="00485A08">
        <w:rPr>
          <w:rFonts w:ascii="Times New Roman" w:hAnsi="Times New Roman" w:cs="Times New Roman"/>
          <w:i/>
        </w:rPr>
        <w:t>Maritime Union of Australia v Fair Work Ombudsman</w:t>
      </w:r>
      <w:r w:rsidRPr="00485A08">
        <w:rPr>
          <w:rFonts w:ascii="Times New Roman" w:hAnsi="Times New Roman" w:cs="Times New Roman"/>
        </w:rPr>
        <w:t xml:space="preserve"> (2016</w:t>
      </w:r>
      <w:r w:rsidR="00045EAA" w:rsidRPr="00485A08">
        <w:rPr>
          <w:rFonts w:ascii="Times New Roman" w:hAnsi="Times New Roman" w:cs="Times New Roman"/>
        </w:rPr>
        <w:t>) 247 FCR 154</w:t>
      </w:r>
      <w:r w:rsidR="004A4A9F" w:rsidRPr="00485A08">
        <w:rPr>
          <w:rFonts w:ascii="Times New Roman" w:hAnsi="Times New Roman" w:cs="Times New Roman"/>
        </w:rPr>
        <w:t>;</w:t>
      </w:r>
      <w:r w:rsidR="00BD685B">
        <w:rPr>
          <w:rFonts w:ascii="Times New Roman" w:hAnsi="Times New Roman" w:cs="Times New Roman"/>
        </w:rPr>
        <w:t xml:space="preserve"> 339 ALR 286;</w:t>
      </w:r>
      <w:r w:rsidR="004A4A9F" w:rsidRPr="00485A08">
        <w:rPr>
          <w:rFonts w:ascii="Times New Roman" w:hAnsi="Times New Roman" w:cs="Times New Roman"/>
        </w:rPr>
        <w:t xml:space="preserve"> [2016] FCAFC 102 </w:t>
      </w:r>
      <w:r w:rsidRPr="00485A08">
        <w:rPr>
          <w:rFonts w:ascii="Times New Roman" w:hAnsi="Times New Roman" w:cs="Times New Roman"/>
        </w:rPr>
        <w:t>(</w:t>
      </w:r>
      <w:r w:rsidRPr="00485A08">
        <w:rPr>
          <w:rFonts w:ascii="Times New Roman" w:hAnsi="Times New Roman" w:cs="Times New Roman"/>
          <w:i/>
        </w:rPr>
        <w:t>MUA v FWO</w:t>
      </w:r>
      <w:r w:rsidRPr="00485A08">
        <w:rPr>
          <w:rFonts w:ascii="Times New Roman" w:hAnsi="Times New Roman" w:cs="Times New Roman"/>
        </w:rPr>
        <w:t>).</w:t>
      </w:r>
      <w:bookmarkEnd w:id="3"/>
      <w:r w:rsidRPr="00485A08">
        <w:rPr>
          <w:rFonts w:ascii="Times New Roman" w:hAnsi="Times New Roman" w:cs="Times New Roman"/>
        </w:rPr>
        <w:t xml:space="preserve"> </w:t>
      </w:r>
    </w:p>
  </w:footnote>
  <w:footnote w:id="60">
    <w:p w14:paraId="32026A17" w14:textId="529AEBFD"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FW</w:t>
      </w:r>
      <w:r w:rsidR="00311168" w:rsidRPr="00485A08">
        <w:rPr>
          <w:rFonts w:ascii="Times New Roman" w:hAnsi="Times New Roman" w:cs="Times New Roman"/>
        </w:rPr>
        <w:t xml:space="preserve"> </w:t>
      </w:r>
      <w:r w:rsidRPr="00485A08">
        <w:rPr>
          <w:rFonts w:ascii="Times New Roman" w:hAnsi="Times New Roman" w:cs="Times New Roman"/>
        </w:rPr>
        <w:t>A</w:t>
      </w:r>
      <w:r w:rsidR="00311168" w:rsidRPr="00485A08">
        <w:rPr>
          <w:rFonts w:ascii="Times New Roman" w:hAnsi="Times New Roman" w:cs="Times New Roman"/>
        </w:rPr>
        <w:t>ct</w:t>
      </w:r>
      <w:r w:rsidRPr="00485A08">
        <w:rPr>
          <w:rFonts w:ascii="Times New Roman" w:hAnsi="Times New Roman" w:cs="Times New Roman"/>
        </w:rPr>
        <w:t xml:space="preserve"> s 342(1) item 7(b);</w:t>
      </w:r>
      <w:r w:rsidR="00BD685B">
        <w:rPr>
          <w:rFonts w:ascii="Times New Roman" w:hAnsi="Times New Roman" w:cs="Times New Roman"/>
        </w:rPr>
        <w:t xml:space="preserve"> ibid</w:t>
      </w:r>
      <w:r w:rsidR="00311168" w:rsidRPr="00485A08">
        <w:rPr>
          <w:rFonts w:ascii="Times New Roman" w:hAnsi="Times New Roman" w:cs="Times New Roman"/>
          <w:iCs/>
        </w:rPr>
        <w:t>,</w:t>
      </w:r>
      <w:r w:rsidRPr="00485A08">
        <w:rPr>
          <w:rFonts w:ascii="Times New Roman" w:hAnsi="Times New Roman" w:cs="Times New Roman"/>
        </w:rPr>
        <w:t xml:space="preserve"> </w:t>
      </w:r>
      <w:r w:rsidR="005B5A5C" w:rsidRPr="00485A08">
        <w:rPr>
          <w:rFonts w:ascii="Times New Roman" w:hAnsi="Times New Roman" w:cs="Times New Roman"/>
        </w:rPr>
        <w:t xml:space="preserve">at </w:t>
      </w:r>
      <w:r w:rsidRPr="00485A08">
        <w:rPr>
          <w:rFonts w:ascii="Times New Roman" w:hAnsi="Times New Roman" w:cs="Times New Roman"/>
        </w:rPr>
        <w:t xml:space="preserve">[16] </w:t>
      </w:r>
      <w:r w:rsidR="007A511F" w:rsidRPr="00485A08">
        <w:rPr>
          <w:rFonts w:ascii="Times New Roman" w:hAnsi="Times New Roman" w:cs="Times New Roman"/>
        </w:rPr>
        <w:t>(</w:t>
      </w:r>
      <w:r w:rsidRPr="00485A08">
        <w:rPr>
          <w:rFonts w:ascii="Times New Roman" w:hAnsi="Times New Roman" w:cs="Times New Roman"/>
        </w:rPr>
        <w:t>Tracey and Buchanan JJ</w:t>
      </w:r>
      <w:r w:rsidR="007A511F" w:rsidRPr="00485A08">
        <w:rPr>
          <w:rFonts w:ascii="Times New Roman" w:hAnsi="Times New Roman" w:cs="Times New Roman"/>
        </w:rPr>
        <w:t>)</w:t>
      </w:r>
      <w:r w:rsidRPr="00485A08">
        <w:rPr>
          <w:rFonts w:ascii="Times New Roman" w:hAnsi="Times New Roman" w:cs="Times New Roman"/>
        </w:rPr>
        <w:t>.</w:t>
      </w:r>
    </w:p>
  </w:footnote>
  <w:footnote w:id="61">
    <w:p w14:paraId="32026A18" w14:textId="1C5C2D64"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Pr="00485A08">
        <w:rPr>
          <w:rFonts w:ascii="Times New Roman" w:hAnsi="Times New Roman" w:cs="Times New Roman"/>
          <w:i/>
        </w:rPr>
        <w:t>MUA v FWO</w:t>
      </w:r>
      <w:r w:rsidR="001E4FBA" w:rsidRPr="00485A08">
        <w:rPr>
          <w:rFonts w:ascii="Times New Roman" w:hAnsi="Times New Roman" w:cs="Times New Roman"/>
          <w:iCs/>
        </w:rPr>
        <w:t>, above n 59, at</w:t>
      </w:r>
      <w:r w:rsidRPr="00485A08">
        <w:rPr>
          <w:rFonts w:ascii="Times New Roman" w:hAnsi="Times New Roman" w:cs="Times New Roman"/>
        </w:rPr>
        <w:t xml:space="preserve"> [16], [21], [24] </w:t>
      </w:r>
      <w:r w:rsidR="007A511F" w:rsidRPr="00485A08">
        <w:rPr>
          <w:rFonts w:ascii="Times New Roman" w:hAnsi="Times New Roman" w:cs="Times New Roman"/>
        </w:rPr>
        <w:t>(</w:t>
      </w:r>
      <w:r w:rsidRPr="00485A08">
        <w:rPr>
          <w:rFonts w:ascii="Times New Roman" w:hAnsi="Times New Roman" w:cs="Times New Roman"/>
        </w:rPr>
        <w:t>Tracey and Buchanan JJ</w:t>
      </w:r>
      <w:r w:rsidR="007A511F" w:rsidRPr="00485A08">
        <w:rPr>
          <w:rFonts w:ascii="Times New Roman" w:hAnsi="Times New Roman" w:cs="Times New Roman"/>
        </w:rPr>
        <w:t>)</w:t>
      </w:r>
      <w:r w:rsidRPr="00485A08">
        <w:rPr>
          <w:rFonts w:ascii="Times New Roman" w:hAnsi="Times New Roman" w:cs="Times New Roman"/>
        </w:rPr>
        <w:t>, [71]</w:t>
      </w:r>
      <w:proofErr w:type="gramStart"/>
      <w:r w:rsidR="003C2A68" w:rsidRPr="00485A08">
        <w:rPr>
          <w:rFonts w:ascii="Times New Roman" w:hAnsi="Times New Roman" w:cs="Times New Roman"/>
        </w:rPr>
        <w:t>–</w:t>
      </w:r>
      <w:r w:rsidRPr="00485A08">
        <w:rPr>
          <w:rFonts w:ascii="Times New Roman" w:hAnsi="Times New Roman" w:cs="Times New Roman"/>
        </w:rPr>
        <w:t>[</w:t>
      </w:r>
      <w:proofErr w:type="gramEnd"/>
      <w:r w:rsidRPr="00485A08">
        <w:rPr>
          <w:rFonts w:ascii="Times New Roman" w:hAnsi="Times New Roman" w:cs="Times New Roman"/>
        </w:rPr>
        <w:t xml:space="preserve">78] </w:t>
      </w:r>
      <w:r w:rsidR="004A4A9F" w:rsidRPr="00485A08">
        <w:rPr>
          <w:rFonts w:ascii="Times New Roman" w:hAnsi="Times New Roman" w:cs="Times New Roman"/>
        </w:rPr>
        <w:t>(</w:t>
      </w:r>
      <w:r w:rsidRPr="00485A08">
        <w:rPr>
          <w:rFonts w:ascii="Times New Roman" w:hAnsi="Times New Roman" w:cs="Times New Roman"/>
        </w:rPr>
        <w:t>Bromberg J</w:t>
      </w:r>
      <w:r w:rsidR="004A4A9F" w:rsidRPr="00485A08">
        <w:rPr>
          <w:rFonts w:ascii="Times New Roman" w:hAnsi="Times New Roman" w:cs="Times New Roman"/>
        </w:rPr>
        <w:t>)</w:t>
      </w:r>
      <w:r w:rsidRPr="00485A08">
        <w:rPr>
          <w:rFonts w:ascii="Times New Roman" w:hAnsi="Times New Roman" w:cs="Times New Roman"/>
        </w:rPr>
        <w:t>.</w:t>
      </w:r>
    </w:p>
  </w:footnote>
  <w:footnote w:id="62">
    <w:p w14:paraId="32026A19" w14:textId="2B0050F7"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Pr="00485A08">
        <w:rPr>
          <w:rFonts w:ascii="Times New Roman" w:hAnsi="Times New Roman" w:cs="Times New Roman"/>
          <w:i/>
        </w:rPr>
        <w:t>MUA v FWO</w:t>
      </w:r>
      <w:r w:rsidR="00EF42C7" w:rsidRPr="00485A08">
        <w:rPr>
          <w:rFonts w:ascii="Times New Roman" w:hAnsi="Times New Roman" w:cs="Times New Roman"/>
          <w:iCs/>
        </w:rPr>
        <w:t>, above n</w:t>
      </w:r>
      <w:r w:rsidR="00600B4A" w:rsidRPr="00485A08">
        <w:rPr>
          <w:rFonts w:ascii="Times New Roman" w:hAnsi="Times New Roman" w:cs="Times New Roman"/>
          <w:iCs/>
        </w:rPr>
        <w:t xml:space="preserve"> </w:t>
      </w:r>
      <w:r w:rsidR="00EF42C7" w:rsidRPr="00485A08">
        <w:rPr>
          <w:rFonts w:ascii="Times New Roman" w:hAnsi="Times New Roman" w:cs="Times New Roman"/>
          <w:iCs/>
        </w:rPr>
        <w:t>59, at</w:t>
      </w:r>
      <w:r w:rsidRPr="00485A08">
        <w:rPr>
          <w:rFonts w:ascii="Times New Roman" w:hAnsi="Times New Roman" w:cs="Times New Roman"/>
          <w:i/>
        </w:rPr>
        <w:t xml:space="preserve"> </w:t>
      </w:r>
      <w:r w:rsidRPr="00485A08">
        <w:rPr>
          <w:rFonts w:ascii="Times New Roman" w:hAnsi="Times New Roman" w:cs="Times New Roman"/>
        </w:rPr>
        <w:t>[71]</w:t>
      </w:r>
      <w:proofErr w:type="gramStart"/>
      <w:r w:rsidR="004B5A43" w:rsidRPr="00485A08">
        <w:rPr>
          <w:rFonts w:ascii="Times New Roman" w:hAnsi="Times New Roman" w:cs="Times New Roman"/>
        </w:rPr>
        <w:t>–</w:t>
      </w:r>
      <w:r w:rsidRPr="00485A08">
        <w:rPr>
          <w:rFonts w:ascii="Times New Roman" w:hAnsi="Times New Roman" w:cs="Times New Roman"/>
        </w:rPr>
        <w:t>[</w:t>
      </w:r>
      <w:proofErr w:type="gramEnd"/>
      <w:r w:rsidRPr="00485A08">
        <w:rPr>
          <w:rFonts w:ascii="Times New Roman" w:hAnsi="Times New Roman" w:cs="Times New Roman"/>
        </w:rPr>
        <w:t>72].</w:t>
      </w:r>
    </w:p>
  </w:footnote>
  <w:footnote w:id="63">
    <w:p w14:paraId="32026A1A" w14:textId="202B52C4"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AHRC, </w:t>
      </w:r>
      <w:r w:rsidR="008834F3" w:rsidRPr="00485A08">
        <w:rPr>
          <w:rFonts w:ascii="Times New Roman" w:hAnsi="Times New Roman" w:cs="Times New Roman"/>
          <w:i/>
        </w:rPr>
        <w:t>Everybody’s Business</w:t>
      </w:r>
      <w:r w:rsidR="008834F3">
        <w:rPr>
          <w:rFonts w:ascii="Times New Roman" w:hAnsi="Times New Roman" w:cs="Times New Roman"/>
          <w:iCs/>
        </w:rPr>
        <w:t>,</w:t>
      </w:r>
      <w:r w:rsidR="008834F3" w:rsidRPr="00485A08">
        <w:rPr>
          <w:rFonts w:ascii="Times New Roman" w:hAnsi="Times New Roman" w:cs="Times New Roman"/>
        </w:rPr>
        <w:t xml:space="preserve"> </w:t>
      </w:r>
      <w:r w:rsidRPr="00485A08">
        <w:rPr>
          <w:rFonts w:ascii="Times New Roman" w:hAnsi="Times New Roman" w:cs="Times New Roman"/>
        </w:rPr>
        <w:t xml:space="preserve">above n 53, </w:t>
      </w:r>
      <w:r w:rsidR="009E74D1" w:rsidRPr="00485A08">
        <w:rPr>
          <w:rFonts w:ascii="Times New Roman" w:hAnsi="Times New Roman" w:cs="Times New Roman"/>
        </w:rPr>
        <w:t xml:space="preserve">at </w:t>
      </w:r>
      <w:r w:rsidRPr="00485A08">
        <w:rPr>
          <w:rFonts w:ascii="Times New Roman" w:hAnsi="Times New Roman" w:cs="Times New Roman"/>
        </w:rPr>
        <w:t>59</w:t>
      </w:r>
      <w:r w:rsidR="004B5A43" w:rsidRPr="00485A08">
        <w:rPr>
          <w:rFonts w:ascii="Times New Roman" w:hAnsi="Times New Roman" w:cs="Times New Roman"/>
        </w:rPr>
        <w:t>–</w:t>
      </w:r>
      <w:r w:rsidRPr="00485A08">
        <w:rPr>
          <w:rFonts w:ascii="Times New Roman" w:hAnsi="Times New Roman" w:cs="Times New Roman"/>
        </w:rPr>
        <w:t xml:space="preserve">62. </w:t>
      </w:r>
    </w:p>
  </w:footnote>
  <w:footnote w:id="64">
    <w:p w14:paraId="32026A1B" w14:textId="2D1A358B"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FW</w:t>
      </w:r>
      <w:r w:rsidR="009E74D1" w:rsidRPr="00485A08">
        <w:rPr>
          <w:rFonts w:ascii="Times New Roman" w:hAnsi="Times New Roman" w:cs="Times New Roman"/>
        </w:rPr>
        <w:t xml:space="preserve"> </w:t>
      </w:r>
      <w:r w:rsidRPr="00485A08">
        <w:rPr>
          <w:rFonts w:ascii="Times New Roman" w:hAnsi="Times New Roman" w:cs="Times New Roman"/>
        </w:rPr>
        <w:t>A</w:t>
      </w:r>
      <w:r w:rsidR="009E74D1" w:rsidRPr="00485A08">
        <w:rPr>
          <w:rFonts w:ascii="Times New Roman" w:hAnsi="Times New Roman" w:cs="Times New Roman"/>
        </w:rPr>
        <w:t>ct</w:t>
      </w:r>
      <w:r w:rsidRPr="00485A08">
        <w:rPr>
          <w:rFonts w:ascii="Times New Roman" w:hAnsi="Times New Roman" w:cs="Times New Roman"/>
        </w:rPr>
        <w:t xml:space="preserve"> s 342(1) item 1(d).</w:t>
      </w:r>
    </w:p>
  </w:footnote>
  <w:footnote w:id="65">
    <w:p w14:paraId="32026A1C" w14:textId="4CED1E26"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00EF6E95" w:rsidRPr="00485A08">
        <w:rPr>
          <w:rFonts w:ascii="Times New Roman" w:hAnsi="Times New Roman" w:cs="Times New Roman"/>
        </w:rPr>
        <w:t>F</w:t>
      </w:r>
      <w:r w:rsidR="009B24E5">
        <w:rPr>
          <w:rFonts w:ascii="Times New Roman" w:hAnsi="Times New Roman" w:cs="Times New Roman"/>
        </w:rPr>
        <w:t xml:space="preserve">air </w:t>
      </w:r>
      <w:r w:rsidR="00EF6E95" w:rsidRPr="00485A08">
        <w:rPr>
          <w:rFonts w:ascii="Times New Roman" w:hAnsi="Times New Roman" w:cs="Times New Roman"/>
        </w:rPr>
        <w:t>W</w:t>
      </w:r>
      <w:r w:rsidR="009B24E5">
        <w:rPr>
          <w:rFonts w:ascii="Times New Roman" w:hAnsi="Times New Roman" w:cs="Times New Roman"/>
        </w:rPr>
        <w:t xml:space="preserve">ork </w:t>
      </w:r>
      <w:r w:rsidR="00EF6E95" w:rsidRPr="00485A08">
        <w:rPr>
          <w:rFonts w:ascii="Times New Roman" w:hAnsi="Times New Roman" w:cs="Times New Roman"/>
        </w:rPr>
        <w:t>C</w:t>
      </w:r>
      <w:r w:rsidR="009B24E5">
        <w:rPr>
          <w:rFonts w:ascii="Times New Roman" w:hAnsi="Times New Roman" w:cs="Times New Roman"/>
        </w:rPr>
        <w:t>ommission</w:t>
      </w:r>
      <w:r w:rsidR="00497351">
        <w:rPr>
          <w:rFonts w:ascii="Times New Roman" w:hAnsi="Times New Roman" w:cs="Times New Roman"/>
        </w:rPr>
        <w:t xml:space="preserve"> (FWC)</w:t>
      </w:r>
      <w:r w:rsidRPr="00485A08">
        <w:rPr>
          <w:rFonts w:ascii="Times New Roman" w:hAnsi="Times New Roman" w:cs="Times New Roman"/>
        </w:rPr>
        <w:t xml:space="preserve">, </w:t>
      </w:r>
      <w:r w:rsidRPr="00485A08">
        <w:rPr>
          <w:rFonts w:ascii="Times New Roman" w:hAnsi="Times New Roman" w:cs="Times New Roman"/>
          <w:i/>
        </w:rPr>
        <w:t xml:space="preserve">General Protections </w:t>
      </w:r>
      <w:proofErr w:type="spellStart"/>
      <w:r w:rsidRPr="00485A08">
        <w:rPr>
          <w:rFonts w:ascii="Times New Roman" w:hAnsi="Times New Roman" w:cs="Times New Roman"/>
          <w:i/>
        </w:rPr>
        <w:t>Benchbook</w:t>
      </w:r>
      <w:proofErr w:type="spellEnd"/>
      <w:r w:rsidRPr="00485A08">
        <w:rPr>
          <w:rFonts w:ascii="Times New Roman" w:hAnsi="Times New Roman" w:cs="Times New Roman"/>
        </w:rPr>
        <w:t>, FWC, Melbourne, 2019,</w:t>
      </w:r>
      <w:r w:rsidR="000F4EA3" w:rsidRPr="00485A08">
        <w:rPr>
          <w:rFonts w:ascii="Times New Roman" w:hAnsi="Times New Roman" w:cs="Times New Roman"/>
        </w:rPr>
        <w:t xml:space="preserve"> at</w:t>
      </w:r>
      <w:r w:rsidRPr="00485A08">
        <w:rPr>
          <w:rFonts w:ascii="Times New Roman" w:hAnsi="Times New Roman" w:cs="Times New Roman"/>
        </w:rPr>
        <w:t xml:space="preserve"> 103. The </w:t>
      </w:r>
      <w:proofErr w:type="spellStart"/>
      <w:r w:rsidRPr="00485A08">
        <w:rPr>
          <w:rFonts w:ascii="Times New Roman" w:hAnsi="Times New Roman" w:cs="Times New Roman"/>
        </w:rPr>
        <w:t>Benchbook</w:t>
      </w:r>
      <w:proofErr w:type="spellEnd"/>
      <w:r w:rsidRPr="00485A08">
        <w:rPr>
          <w:rFonts w:ascii="Times New Roman" w:hAnsi="Times New Roman" w:cs="Times New Roman"/>
        </w:rPr>
        <w:t xml:space="preserve"> has no formal legal status. It states that its purpose is to assist parties in their preparations. </w:t>
      </w:r>
    </w:p>
  </w:footnote>
  <w:footnote w:id="66">
    <w:p w14:paraId="32026A1D" w14:textId="78225218"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See</w:t>
      </w:r>
      <w:r w:rsidR="00D86868" w:rsidRPr="00485A08">
        <w:rPr>
          <w:rFonts w:ascii="Times New Roman" w:hAnsi="Times New Roman" w:cs="Times New Roman"/>
        </w:rPr>
        <w:t>,</w:t>
      </w:r>
      <w:r w:rsidRPr="00485A08">
        <w:rPr>
          <w:rFonts w:ascii="Times New Roman" w:hAnsi="Times New Roman" w:cs="Times New Roman"/>
        </w:rPr>
        <w:t xml:space="preserve"> eg, </w:t>
      </w:r>
      <w:r w:rsidRPr="00485A08">
        <w:rPr>
          <w:rFonts w:ascii="Times New Roman" w:hAnsi="Times New Roman" w:cs="Times New Roman"/>
          <w:i/>
        </w:rPr>
        <w:t>Daniels v Hunter Water Board</w:t>
      </w:r>
      <w:r w:rsidRPr="00485A08">
        <w:rPr>
          <w:rFonts w:ascii="Times New Roman" w:hAnsi="Times New Roman" w:cs="Times New Roman"/>
        </w:rPr>
        <w:t xml:space="preserve"> </w:t>
      </w:r>
      <w:r w:rsidR="0026539D">
        <w:rPr>
          <w:rFonts w:ascii="Times New Roman" w:hAnsi="Times New Roman" w:cs="Times New Roman"/>
        </w:rPr>
        <w:t>(</w:t>
      </w:r>
      <w:r w:rsidRPr="00485A08">
        <w:rPr>
          <w:rFonts w:ascii="Times New Roman" w:hAnsi="Times New Roman" w:cs="Times New Roman"/>
        </w:rPr>
        <w:t>1994</w:t>
      </w:r>
      <w:r w:rsidR="0026539D">
        <w:rPr>
          <w:rFonts w:ascii="Times New Roman" w:hAnsi="Times New Roman" w:cs="Times New Roman"/>
        </w:rPr>
        <w:t>)</w:t>
      </w:r>
      <w:r w:rsidRPr="00485A08">
        <w:rPr>
          <w:rFonts w:ascii="Times New Roman" w:hAnsi="Times New Roman" w:cs="Times New Roman"/>
        </w:rPr>
        <w:t xml:space="preserve"> EOC 92-626; </w:t>
      </w:r>
      <w:r w:rsidRPr="00485A08">
        <w:rPr>
          <w:rFonts w:ascii="Times New Roman" w:hAnsi="Times New Roman" w:cs="Times New Roman"/>
          <w:i/>
        </w:rPr>
        <w:t>Nationwide News Pty Ltd v Naidu</w:t>
      </w:r>
      <w:r w:rsidRPr="00485A08">
        <w:rPr>
          <w:rFonts w:ascii="Times New Roman" w:hAnsi="Times New Roman" w:cs="Times New Roman"/>
        </w:rPr>
        <w:t xml:space="preserve"> </w:t>
      </w:r>
      <w:r w:rsidR="007A511F" w:rsidRPr="00485A08">
        <w:rPr>
          <w:rFonts w:ascii="Times New Roman" w:hAnsi="Times New Roman" w:cs="Times New Roman"/>
        </w:rPr>
        <w:t>(</w:t>
      </w:r>
      <w:r w:rsidRPr="00485A08">
        <w:rPr>
          <w:rFonts w:ascii="Times New Roman" w:hAnsi="Times New Roman" w:cs="Times New Roman"/>
        </w:rPr>
        <w:t>2007</w:t>
      </w:r>
      <w:r w:rsidR="007A511F" w:rsidRPr="00485A08">
        <w:rPr>
          <w:rFonts w:ascii="Times New Roman" w:hAnsi="Times New Roman" w:cs="Times New Roman"/>
        </w:rPr>
        <w:t>) 71 NSWLR 471</w:t>
      </w:r>
      <w:r w:rsidR="00BE060E">
        <w:rPr>
          <w:rFonts w:ascii="Times New Roman" w:hAnsi="Times New Roman" w:cs="Times New Roman"/>
        </w:rPr>
        <w:t xml:space="preserve">; Aust Torts Rep </w:t>
      </w:r>
      <w:r w:rsidR="00BE060E" w:rsidRPr="00BE060E">
        <w:rPr>
          <w:rFonts w:ascii="Times New Roman" w:hAnsi="Times New Roman" w:cs="Times New Roman"/>
        </w:rPr>
        <w:t>¶81-928</w:t>
      </w:r>
      <w:r w:rsidR="00BE060E">
        <w:rPr>
          <w:rFonts w:ascii="Times New Roman" w:hAnsi="Times New Roman" w:cs="Times New Roman"/>
        </w:rPr>
        <w:t>; [</w:t>
      </w:r>
      <w:r w:rsidR="00D840C1">
        <w:rPr>
          <w:rFonts w:ascii="Times New Roman" w:hAnsi="Times New Roman" w:cs="Times New Roman"/>
        </w:rPr>
        <w:t>2007] NSWCA 377</w:t>
      </w:r>
      <w:r w:rsidR="00B2659C" w:rsidRPr="00485A08">
        <w:rPr>
          <w:rFonts w:ascii="Times New Roman" w:hAnsi="Times New Roman" w:cs="Times New Roman"/>
        </w:rPr>
        <w:t>;</w:t>
      </w:r>
      <w:r w:rsidRPr="00485A08">
        <w:rPr>
          <w:rFonts w:ascii="Times New Roman" w:hAnsi="Times New Roman" w:cs="Times New Roman"/>
        </w:rPr>
        <w:t xml:space="preserve"> </w:t>
      </w:r>
      <w:proofErr w:type="spellStart"/>
      <w:r w:rsidRPr="00485A08">
        <w:rPr>
          <w:rFonts w:ascii="Times New Roman" w:hAnsi="Times New Roman" w:cs="Times New Roman"/>
          <w:i/>
        </w:rPr>
        <w:t>Trapman</w:t>
      </w:r>
      <w:proofErr w:type="spellEnd"/>
      <w:r w:rsidRPr="00485A08">
        <w:rPr>
          <w:rFonts w:ascii="Times New Roman" w:hAnsi="Times New Roman" w:cs="Times New Roman"/>
          <w:i/>
        </w:rPr>
        <w:t xml:space="preserve"> v Sydney Water Corporation </w:t>
      </w:r>
      <w:r w:rsidRPr="00485A08">
        <w:rPr>
          <w:rFonts w:ascii="Times New Roman" w:hAnsi="Times New Roman" w:cs="Times New Roman"/>
        </w:rPr>
        <w:t>[2011] FMCA 398</w:t>
      </w:r>
      <w:r w:rsidR="00B2659C" w:rsidRPr="00485A08">
        <w:rPr>
          <w:rFonts w:ascii="Times New Roman" w:hAnsi="Times New Roman" w:cs="Times New Roman"/>
        </w:rPr>
        <w:t xml:space="preserve"> (2 June 2011)</w:t>
      </w:r>
      <w:r w:rsidRPr="00485A08">
        <w:rPr>
          <w:rFonts w:ascii="Times New Roman" w:hAnsi="Times New Roman" w:cs="Times New Roman"/>
        </w:rPr>
        <w:t>.</w:t>
      </w:r>
    </w:p>
  </w:footnote>
  <w:footnote w:id="67">
    <w:p w14:paraId="32026A1E" w14:textId="77BA232C"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Chapman, above n 8,</w:t>
      </w:r>
      <w:r w:rsidR="004B1EA2" w:rsidRPr="00485A08">
        <w:rPr>
          <w:rFonts w:ascii="Times New Roman" w:hAnsi="Times New Roman" w:cs="Times New Roman"/>
        </w:rPr>
        <w:t xml:space="preserve"> at</w:t>
      </w:r>
      <w:r w:rsidRPr="00485A08">
        <w:rPr>
          <w:rFonts w:ascii="Times New Roman" w:hAnsi="Times New Roman" w:cs="Times New Roman"/>
        </w:rPr>
        <w:t xml:space="preserve"> 17</w:t>
      </w:r>
      <w:r w:rsidR="003C2A68" w:rsidRPr="00485A08">
        <w:rPr>
          <w:rFonts w:ascii="Times New Roman" w:hAnsi="Times New Roman" w:cs="Times New Roman"/>
        </w:rPr>
        <w:t>–</w:t>
      </w:r>
      <w:r w:rsidRPr="00485A08">
        <w:rPr>
          <w:rFonts w:ascii="Times New Roman" w:hAnsi="Times New Roman" w:cs="Times New Roman"/>
        </w:rPr>
        <w:t xml:space="preserve">26; Chapman, Gaze and Orifici, above n 8, </w:t>
      </w:r>
      <w:r w:rsidR="00FA214C" w:rsidRPr="00485A08">
        <w:rPr>
          <w:rFonts w:ascii="Times New Roman" w:hAnsi="Times New Roman" w:cs="Times New Roman"/>
        </w:rPr>
        <w:t xml:space="preserve">at </w:t>
      </w:r>
      <w:r w:rsidRPr="00485A08">
        <w:rPr>
          <w:rFonts w:ascii="Times New Roman" w:hAnsi="Times New Roman" w:cs="Times New Roman"/>
        </w:rPr>
        <w:t>223</w:t>
      </w:r>
      <w:r w:rsidR="003C2A68" w:rsidRPr="00485A08">
        <w:rPr>
          <w:rFonts w:ascii="Times New Roman" w:hAnsi="Times New Roman" w:cs="Times New Roman"/>
        </w:rPr>
        <w:t>–</w:t>
      </w:r>
      <w:r w:rsidRPr="00485A08">
        <w:rPr>
          <w:rFonts w:ascii="Times New Roman" w:hAnsi="Times New Roman" w:cs="Times New Roman"/>
        </w:rPr>
        <w:t>6.</w:t>
      </w:r>
    </w:p>
  </w:footnote>
  <w:footnote w:id="68">
    <w:p w14:paraId="32026A1F" w14:textId="3AE434E3"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004B1EA2" w:rsidRPr="00485A08">
        <w:rPr>
          <w:rFonts w:ascii="Times New Roman" w:hAnsi="Times New Roman" w:cs="Times New Roman"/>
        </w:rPr>
        <w:t>Chapman, above n 8; Chapman, Gaze and Orifici, above n 8.</w:t>
      </w:r>
    </w:p>
  </w:footnote>
  <w:footnote w:id="69">
    <w:p w14:paraId="32026A20" w14:textId="222341A9"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00646FF9">
        <w:rPr>
          <w:rFonts w:ascii="Times New Roman" w:hAnsi="Times New Roman" w:cs="Times New Roman"/>
        </w:rPr>
        <w:t xml:space="preserve">Australian </w:t>
      </w:r>
      <w:r w:rsidRPr="00485A08">
        <w:rPr>
          <w:rFonts w:ascii="Times New Roman" w:hAnsi="Times New Roman" w:cs="Times New Roman"/>
        </w:rPr>
        <w:t xml:space="preserve">Discrimination Law Experts Group, above n 12, </w:t>
      </w:r>
      <w:r w:rsidR="00CE00C7" w:rsidRPr="00485A08">
        <w:rPr>
          <w:rFonts w:ascii="Times New Roman" w:hAnsi="Times New Roman" w:cs="Times New Roman"/>
        </w:rPr>
        <w:t>a</w:t>
      </w:r>
      <w:r w:rsidR="00875C57" w:rsidRPr="00485A08">
        <w:rPr>
          <w:rFonts w:ascii="Times New Roman" w:hAnsi="Times New Roman" w:cs="Times New Roman"/>
        </w:rPr>
        <w:t>t</w:t>
      </w:r>
      <w:r w:rsidR="00CE00C7" w:rsidRPr="00485A08">
        <w:rPr>
          <w:rFonts w:ascii="Times New Roman" w:hAnsi="Times New Roman" w:cs="Times New Roman"/>
        </w:rPr>
        <w:t xml:space="preserve"> </w:t>
      </w:r>
      <w:r w:rsidRPr="00485A08">
        <w:rPr>
          <w:rFonts w:ascii="Times New Roman" w:hAnsi="Times New Roman" w:cs="Times New Roman"/>
        </w:rPr>
        <w:t>42</w:t>
      </w:r>
      <w:r w:rsidR="003C2A68" w:rsidRPr="00485A08">
        <w:rPr>
          <w:rFonts w:ascii="Times New Roman" w:hAnsi="Times New Roman" w:cs="Times New Roman"/>
        </w:rPr>
        <w:t>–</w:t>
      </w:r>
      <w:r w:rsidRPr="00485A08">
        <w:rPr>
          <w:rFonts w:ascii="Times New Roman" w:hAnsi="Times New Roman" w:cs="Times New Roman"/>
        </w:rPr>
        <w:t xml:space="preserve">3; VLA, above n 12, </w:t>
      </w:r>
      <w:r w:rsidR="007768B0" w:rsidRPr="00485A08">
        <w:rPr>
          <w:rFonts w:ascii="Times New Roman" w:hAnsi="Times New Roman" w:cs="Times New Roman"/>
        </w:rPr>
        <w:t xml:space="preserve">at </w:t>
      </w:r>
      <w:r w:rsidRPr="00485A08">
        <w:rPr>
          <w:rFonts w:ascii="Times New Roman" w:hAnsi="Times New Roman" w:cs="Times New Roman"/>
        </w:rPr>
        <w:t xml:space="preserve">36; </w:t>
      </w:r>
      <w:r w:rsidRPr="00485A08">
        <w:rPr>
          <w:rFonts w:ascii="Times New Roman" w:hAnsi="Times New Roman" w:cs="Times New Roman"/>
          <w:i/>
        </w:rPr>
        <w:t>Evangeline v Department of Human Services</w:t>
      </w:r>
      <w:r w:rsidRPr="00485A08">
        <w:rPr>
          <w:rFonts w:ascii="Times New Roman" w:hAnsi="Times New Roman" w:cs="Times New Roman"/>
        </w:rPr>
        <w:t xml:space="preserve"> [2013] FCCA 807 </w:t>
      </w:r>
      <w:r w:rsidR="00B2659C" w:rsidRPr="00485A08">
        <w:rPr>
          <w:rFonts w:ascii="Times New Roman" w:hAnsi="Times New Roman" w:cs="Times New Roman"/>
        </w:rPr>
        <w:t xml:space="preserve">(28 June 2013) </w:t>
      </w:r>
      <w:r w:rsidR="00AE1A99" w:rsidRPr="00485A08">
        <w:rPr>
          <w:rFonts w:ascii="Times New Roman" w:hAnsi="Times New Roman" w:cs="Times New Roman"/>
        </w:rPr>
        <w:t xml:space="preserve">at </w:t>
      </w:r>
      <w:r w:rsidRPr="00485A08">
        <w:rPr>
          <w:rFonts w:ascii="Times New Roman" w:hAnsi="Times New Roman" w:cs="Times New Roman"/>
        </w:rPr>
        <w:t>[101].</w:t>
      </w:r>
    </w:p>
  </w:footnote>
  <w:footnote w:id="70">
    <w:p w14:paraId="32026A21" w14:textId="7FCD747E"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More complex issues may arise in triangular arrangements where an agency is present. An agency might be the employer of the claimant. Where the agency is not the employer</w:t>
      </w:r>
      <w:r w:rsidR="008A23F7" w:rsidRPr="00485A08">
        <w:rPr>
          <w:rFonts w:ascii="Times New Roman" w:hAnsi="Times New Roman" w:cs="Times New Roman"/>
        </w:rPr>
        <w:t>,</w:t>
      </w:r>
      <w:r w:rsidRPr="00485A08">
        <w:rPr>
          <w:rFonts w:ascii="Times New Roman" w:hAnsi="Times New Roman" w:cs="Times New Roman"/>
        </w:rPr>
        <w:t xml:space="preserve"> it might face accessorial liability (discussed below). </w:t>
      </w:r>
    </w:p>
  </w:footnote>
  <w:footnote w:id="71">
    <w:p w14:paraId="32026A22" w14:textId="74FC34DD"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AHRC, </w:t>
      </w:r>
      <w:r w:rsidR="008834F3" w:rsidRPr="00485A08">
        <w:rPr>
          <w:rFonts w:ascii="Times New Roman" w:hAnsi="Times New Roman" w:cs="Times New Roman"/>
          <w:i/>
        </w:rPr>
        <w:t>Everybody’s Business</w:t>
      </w:r>
      <w:r w:rsidR="008834F3">
        <w:rPr>
          <w:rFonts w:ascii="Times New Roman" w:hAnsi="Times New Roman" w:cs="Times New Roman"/>
          <w:iCs/>
        </w:rPr>
        <w:t>,</w:t>
      </w:r>
      <w:r w:rsidR="008834F3" w:rsidRPr="00485A08">
        <w:rPr>
          <w:rFonts w:ascii="Times New Roman" w:hAnsi="Times New Roman" w:cs="Times New Roman"/>
        </w:rPr>
        <w:t xml:space="preserve"> </w:t>
      </w:r>
      <w:r w:rsidRPr="00485A08">
        <w:rPr>
          <w:rFonts w:ascii="Times New Roman" w:hAnsi="Times New Roman" w:cs="Times New Roman"/>
        </w:rPr>
        <w:t>above n 53.</w:t>
      </w:r>
    </w:p>
  </w:footnote>
  <w:footnote w:id="72">
    <w:p w14:paraId="32026A23" w14:textId="596E505E"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Employers are liable in equality and discrimination law for the harassing behaviour of their employees, unless the employer has taken reasonable precautions or reasonable steps to prevent that behaviour occurring. See</w:t>
      </w:r>
      <w:r w:rsidR="00D86868" w:rsidRPr="00485A08">
        <w:rPr>
          <w:rFonts w:ascii="Times New Roman" w:hAnsi="Times New Roman" w:cs="Times New Roman"/>
        </w:rPr>
        <w:t>,</w:t>
      </w:r>
      <w:r w:rsidRPr="00485A08">
        <w:rPr>
          <w:rFonts w:ascii="Times New Roman" w:hAnsi="Times New Roman" w:cs="Times New Roman"/>
        </w:rPr>
        <w:t xml:space="preserve"> eg, Sex Discrimination Act 1984 (Cth) (SD</w:t>
      </w:r>
      <w:r w:rsidR="00CC2B6B" w:rsidRPr="00485A08">
        <w:rPr>
          <w:rFonts w:ascii="Times New Roman" w:hAnsi="Times New Roman" w:cs="Times New Roman"/>
        </w:rPr>
        <w:t xml:space="preserve"> </w:t>
      </w:r>
      <w:r w:rsidRPr="00485A08">
        <w:rPr>
          <w:rFonts w:ascii="Times New Roman" w:hAnsi="Times New Roman" w:cs="Times New Roman"/>
        </w:rPr>
        <w:t>A</w:t>
      </w:r>
      <w:r w:rsidR="00CC2B6B" w:rsidRPr="00485A08">
        <w:rPr>
          <w:rFonts w:ascii="Times New Roman" w:hAnsi="Times New Roman" w:cs="Times New Roman"/>
        </w:rPr>
        <w:t>ct</w:t>
      </w:r>
      <w:r w:rsidRPr="00485A08">
        <w:rPr>
          <w:rFonts w:ascii="Times New Roman" w:hAnsi="Times New Roman" w:cs="Times New Roman"/>
        </w:rPr>
        <w:t>) s 106; EO</w:t>
      </w:r>
      <w:r w:rsidR="00CC2B6B" w:rsidRPr="00485A08">
        <w:rPr>
          <w:rFonts w:ascii="Times New Roman" w:hAnsi="Times New Roman" w:cs="Times New Roman"/>
        </w:rPr>
        <w:t xml:space="preserve"> </w:t>
      </w:r>
      <w:r w:rsidRPr="00485A08">
        <w:rPr>
          <w:rFonts w:ascii="Times New Roman" w:hAnsi="Times New Roman" w:cs="Times New Roman"/>
        </w:rPr>
        <w:t>A</w:t>
      </w:r>
      <w:r w:rsidR="00CC2B6B" w:rsidRPr="00485A08">
        <w:rPr>
          <w:rFonts w:ascii="Times New Roman" w:hAnsi="Times New Roman" w:cs="Times New Roman"/>
        </w:rPr>
        <w:t>ct</w:t>
      </w:r>
      <w:r w:rsidRPr="00485A08">
        <w:rPr>
          <w:rFonts w:ascii="Times New Roman" w:hAnsi="Times New Roman" w:cs="Times New Roman"/>
        </w:rPr>
        <w:t xml:space="preserve"> (Vic) s</w:t>
      </w:r>
      <w:r w:rsidR="00E956F9" w:rsidRPr="00485A08">
        <w:rPr>
          <w:rFonts w:ascii="Times New Roman" w:hAnsi="Times New Roman" w:cs="Times New Roman"/>
        </w:rPr>
        <w:t>s</w:t>
      </w:r>
      <w:r w:rsidRPr="00485A08">
        <w:rPr>
          <w:rFonts w:ascii="Times New Roman" w:hAnsi="Times New Roman" w:cs="Times New Roman"/>
        </w:rPr>
        <w:t xml:space="preserve"> 109, 110; AD</w:t>
      </w:r>
      <w:r w:rsidR="00CC2B6B" w:rsidRPr="00485A08">
        <w:rPr>
          <w:rFonts w:ascii="Times New Roman" w:hAnsi="Times New Roman" w:cs="Times New Roman"/>
        </w:rPr>
        <w:t xml:space="preserve"> </w:t>
      </w:r>
      <w:r w:rsidRPr="00485A08">
        <w:rPr>
          <w:rFonts w:ascii="Times New Roman" w:hAnsi="Times New Roman" w:cs="Times New Roman"/>
        </w:rPr>
        <w:t>A</w:t>
      </w:r>
      <w:r w:rsidR="00CC2B6B" w:rsidRPr="00485A08">
        <w:rPr>
          <w:rFonts w:ascii="Times New Roman" w:hAnsi="Times New Roman" w:cs="Times New Roman"/>
        </w:rPr>
        <w:t>ct</w:t>
      </w:r>
      <w:r w:rsidRPr="00485A08">
        <w:rPr>
          <w:rFonts w:ascii="Times New Roman" w:hAnsi="Times New Roman" w:cs="Times New Roman"/>
        </w:rPr>
        <w:t xml:space="preserve"> (NSW) s 53.</w:t>
      </w:r>
    </w:p>
  </w:footnote>
  <w:footnote w:id="73">
    <w:p w14:paraId="32026A24" w14:textId="1233EFCC" w:rsidR="00526B9C" w:rsidRPr="00485A08" w:rsidRDefault="00543F23" w:rsidP="00485A08">
      <w:pPr>
        <w:spacing w:after="0"/>
        <w:jc w:val="both"/>
        <w:rPr>
          <w:rFonts w:ascii="Times New Roman" w:hAnsi="Times New Roman" w:cs="Times New Roman"/>
          <w:sz w:val="20"/>
          <w:szCs w:val="20"/>
        </w:rPr>
      </w:pPr>
      <w:r w:rsidRPr="00485A08">
        <w:rPr>
          <w:rStyle w:val="FootnoteReference"/>
          <w:rFonts w:ascii="Times New Roman" w:hAnsi="Times New Roman" w:cs="Times New Roman"/>
          <w:sz w:val="20"/>
          <w:szCs w:val="20"/>
        </w:rPr>
        <w:footnoteRef/>
      </w:r>
      <w:r w:rsidRPr="00485A08">
        <w:rPr>
          <w:rFonts w:ascii="Times New Roman" w:hAnsi="Times New Roman" w:cs="Times New Roman"/>
          <w:sz w:val="20"/>
          <w:szCs w:val="20"/>
        </w:rPr>
        <w:t xml:space="preserve"> The</w:t>
      </w:r>
      <w:r w:rsidRPr="00485A08">
        <w:rPr>
          <w:rFonts w:ascii="Times New Roman" w:hAnsi="Times New Roman" w:cs="Times New Roman"/>
          <w:sz w:val="20"/>
          <w:szCs w:val="20"/>
          <w:lang w:val="en-US"/>
        </w:rPr>
        <w:t>re is additionally nothing in s 342(1) or elsewhere in the FW</w:t>
      </w:r>
      <w:r w:rsidR="00F7579B" w:rsidRPr="00485A08">
        <w:rPr>
          <w:rFonts w:ascii="Times New Roman" w:hAnsi="Times New Roman" w:cs="Times New Roman"/>
          <w:sz w:val="20"/>
          <w:szCs w:val="20"/>
          <w:lang w:val="en-US"/>
        </w:rPr>
        <w:t xml:space="preserve"> </w:t>
      </w:r>
      <w:r w:rsidRPr="00485A08">
        <w:rPr>
          <w:rFonts w:ascii="Times New Roman" w:hAnsi="Times New Roman" w:cs="Times New Roman"/>
          <w:sz w:val="20"/>
          <w:szCs w:val="20"/>
          <w:lang w:val="en-US"/>
        </w:rPr>
        <w:t>A</w:t>
      </w:r>
      <w:r w:rsidR="00F7579B" w:rsidRPr="00485A08">
        <w:rPr>
          <w:rFonts w:ascii="Times New Roman" w:hAnsi="Times New Roman" w:cs="Times New Roman"/>
          <w:sz w:val="20"/>
          <w:szCs w:val="20"/>
          <w:lang w:val="en-US"/>
        </w:rPr>
        <w:t>ct</w:t>
      </w:r>
      <w:r w:rsidRPr="00485A08">
        <w:rPr>
          <w:rFonts w:ascii="Times New Roman" w:hAnsi="Times New Roman" w:cs="Times New Roman"/>
          <w:sz w:val="20"/>
          <w:szCs w:val="20"/>
          <w:lang w:val="en-US"/>
        </w:rPr>
        <w:t xml:space="preserve"> to indicate that a co-worker engaging in harassing conduct could themselves be liable for their conduct that amounts to ‘adverse action’. The rule in Part 3-1 against coercion (s 343) and the ability to seek an order to stop bullying under FW</w:t>
      </w:r>
      <w:r w:rsidR="00F7579B" w:rsidRPr="00485A08">
        <w:rPr>
          <w:rFonts w:ascii="Times New Roman" w:hAnsi="Times New Roman" w:cs="Times New Roman"/>
          <w:sz w:val="20"/>
          <w:szCs w:val="20"/>
          <w:lang w:val="en-US"/>
        </w:rPr>
        <w:t xml:space="preserve"> </w:t>
      </w:r>
      <w:r w:rsidRPr="00485A08">
        <w:rPr>
          <w:rFonts w:ascii="Times New Roman" w:hAnsi="Times New Roman" w:cs="Times New Roman"/>
          <w:sz w:val="20"/>
          <w:szCs w:val="20"/>
          <w:lang w:val="en-US"/>
        </w:rPr>
        <w:t>A</w:t>
      </w:r>
      <w:r w:rsidR="00F7579B" w:rsidRPr="00485A08">
        <w:rPr>
          <w:rFonts w:ascii="Times New Roman" w:hAnsi="Times New Roman" w:cs="Times New Roman"/>
          <w:sz w:val="20"/>
          <w:szCs w:val="20"/>
          <w:lang w:val="en-US"/>
        </w:rPr>
        <w:t>ct</w:t>
      </w:r>
      <w:r w:rsidRPr="00485A08">
        <w:rPr>
          <w:rFonts w:ascii="Times New Roman" w:hAnsi="Times New Roman" w:cs="Times New Roman"/>
          <w:sz w:val="20"/>
          <w:szCs w:val="20"/>
          <w:lang w:val="en-US"/>
        </w:rPr>
        <w:t xml:space="preserve"> Part 6-4B may be relevant, depending on the circumstances.</w:t>
      </w:r>
    </w:p>
  </w:footnote>
  <w:footnote w:id="74">
    <w:p w14:paraId="32026A25" w14:textId="4F6BFD36"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[2018] FCCA 2426</w:t>
      </w:r>
      <w:r w:rsidR="008A23F7" w:rsidRPr="00485A08">
        <w:rPr>
          <w:rFonts w:ascii="Times New Roman" w:hAnsi="Times New Roman" w:cs="Times New Roman"/>
        </w:rPr>
        <w:t xml:space="preserve"> (30 November 2018)</w:t>
      </w:r>
      <w:r w:rsidRPr="00485A08">
        <w:rPr>
          <w:rFonts w:ascii="Times New Roman" w:hAnsi="Times New Roman" w:cs="Times New Roman"/>
        </w:rPr>
        <w:t xml:space="preserve"> (</w:t>
      </w:r>
      <w:r w:rsidRPr="00485A08">
        <w:rPr>
          <w:rFonts w:ascii="Times New Roman" w:hAnsi="Times New Roman" w:cs="Times New Roman"/>
          <w:i/>
        </w:rPr>
        <w:t>Wang</w:t>
      </w:r>
      <w:r w:rsidRPr="00485A08">
        <w:rPr>
          <w:rFonts w:ascii="Times New Roman" w:hAnsi="Times New Roman" w:cs="Times New Roman"/>
        </w:rPr>
        <w:t>). See also</w:t>
      </w:r>
      <w:r w:rsidRPr="00485A08">
        <w:rPr>
          <w:rFonts w:ascii="Times New Roman" w:hAnsi="Times New Roman" w:cs="Times New Roman"/>
          <w:i/>
        </w:rPr>
        <w:t xml:space="preserve"> Turley v James </w:t>
      </w:r>
      <w:proofErr w:type="spellStart"/>
      <w:r w:rsidRPr="00485A08">
        <w:rPr>
          <w:rFonts w:ascii="Times New Roman" w:hAnsi="Times New Roman" w:cs="Times New Roman"/>
          <w:i/>
        </w:rPr>
        <w:t>Frizelles</w:t>
      </w:r>
      <w:proofErr w:type="spellEnd"/>
      <w:r w:rsidRPr="00485A08">
        <w:rPr>
          <w:rFonts w:ascii="Times New Roman" w:hAnsi="Times New Roman" w:cs="Times New Roman"/>
          <w:i/>
        </w:rPr>
        <w:t xml:space="preserve"> Automotive Group</w:t>
      </w:r>
      <w:r w:rsidRPr="00485A08">
        <w:rPr>
          <w:rFonts w:ascii="Times New Roman" w:hAnsi="Times New Roman" w:cs="Times New Roman"/>
        </w:rPr>
        <w:t xml:space="preserve"> [2018] FCCA 2989</w:t>
      </w:r>
      <w:r w:rsidR="00E17B9C" w:rsidRPr="00485A08">
        <w:rPr>
          <w:rFonts w:ascii="Times New Roman" w:hAnsi="Times New Roman" w:cs="Times New Roman"/>
        </w:rPr>
        <w:t xml:space="preserve"> </w:t>
      </w:r>
      <w:r w:rsidR="008A23F7" w:rsidRPr="00485A08">
        <w:rPr>
          <w:rFonts w:ascii="Times New Roman" w:hAnsi="Times New Roman" w:cs="Times New Roman"/>
        </w:rPr>
        <w:t>(30 October 2018)</w:t>
      </w:r>
      <w:r w:rsidR="00F25A64" w:rsidRPr="00485A08">
        <w:rPr>
          <w:rFonts w:ascii="Times New Roman" w:hAnsi="Times New Roman" w:cs="Times New Roman"/>
        </w:rPr>
        <w:t xml:space="preserve"> at [152];</w:t>
      </w:r>
      <w:r w:rsidR="0034390E" w:rsidRPr="00485A08">
        <w:rPr>
          <w:rFonts w:ascii="Times New Roman" w:hAnsi="Times New Roman" w:cs="Times New Roman"/>
        </w:rPr>
        <w:t xml:space="preserve"> </w:t>
      </w:r>
      <w:r w:rsidRPr="00485A08">
        <w:rPr>
          <w:rFonts w:ascii="Times New Roman" w:hAnsi="Times New Roman" w:cs="Times New Roman"/>
          <w:i/>
        </w:rPr>
        <w:t>Wroughton v Catholic Education Office of Parramatta</w:t>
      </w:r>
      <w:r w:rsidRPr="00485A08">
        <w:rPr>
          <w:rFonts w:ascii="Times New Roman" w:hAnsi="Times New Roman" w:cs="Times New Roman"/>
        </w:rPr>
        <w:t xml:space="preserve"> </w:t>
      </w:r>
      <w:r w:rsidR="00EA655F">
        <w:rPr>
          <w:rFonts w:ascii="Times New Roman" w:hAnsi="Times New Roman" w:cs="Times New Roman"/>
        </w:rPr>
        <w:t>(</w:t>
      </w:r>
      <w:r w:rsidR="00527D9D">
        <w:rPr>
          <w:rFonts w:ascii="Times New Roman" w:hAnsi="Times New Roman" w:cs="Times New Roman"/>
        </w:rPr>
        <w:t xml:space="preserve">2015) 255 IR 283; </w:t>
      </w:r>
      <w:r w:rsidRPr="00485A08">
        <w:rPr>
          <w:rFonts w:ascii="Times New Roman" w:hAnsi="Times New Roman" w:cs="Times New Roman"/>
        </w:rPr>
        <w:t xml:space="preserve">[2015] FCA 1236 </w:t>
      </w:r>
      <w:r w:rsidR="008A23F7" w:rsidRPr="00485A08">
        <w:rPr>
          <w:rFonts w:ascii="Times New Roman" w:hAnsi="Times New Roman" w:cs="Times New Roman"/>
        </w:rPr>
        <w:t xml:space="preserve">(17 November 2015) </w:t>
      </w:r>
      <w:r w:rsidRPr="00485A08">
        <w:rPr>
          <w:rFonts w:ascii="Times New Roman" w:hAnsi="Times New Roman" w:cs="Times New Roman"/>
        </w:rPr>
        <w:t>(</w:t>
      </w:r>
      <w:r w:rsidRPr="00485A08">
        <w:rPr>
          <w:rFonts w:ascii="Times New Roman" w:hAnsi="Times New Roman" w:cs="Times New Roman"/>
          <w:i/>
        </w:rPr>
        <w:t>Wroughton</w:t>
      </w:r>
      <w:r w:rsidRPr="00485A08">
        <w:rPr>
          <w:rFonts w:ascii="Times New Roman" w:hAnsi="Times New Roman" w:cs="Times New Roman"/>
        </w:rPr>
        <w:t xml:space="preserve">) </w:t>
      </w:r>
      <w:r w:rsidR="00E17B9C" w:rsidRPr="00485A08">
        <w:rPr>
          <w:rFonts w:ascii="Times New Roman" w:hAnsi="Times New Roman" w:cs="Times New Roman"/>
        </w:rPr>
        <w:t xml:space="preserve">at </w:t>
      </w:r>
      <w:r w:rsidRPr="00485A08">
        <w:rPr>
          <w:rFonts w:ascii="Times New Roman" w:hAnsi="Times New Roman" w:cs="Times New Roman"/>
        </w:rPr>
        <w:t>[51]</w:t>
      </w:r>
      <w:proofErr w:type="gramStart"/>
      <w:r w:rsidR="003C2A68" w:rsidRPr="00485A08">
        <w:rPr>
          <w:rFonts w:ascii="Times New Roman" w:hAnsi="Times New Roman" w:cs="Times New Roman"/>
        </w:rPr>
        <w:t>–</w:t>
      </w:r>
      <w:r w:rsidRPr="00485A08">
        <w:rPr>
          <w:rFonts w:ascii="Times New Roman" w:hAnsi="Times New Roman" w:cs="Times New Roman"/>
        </w:rPr>
        <w:t>[</w:t>
      </w:r>
      <w:proofErr w:type="gramEnd"/>
      <w:r w:rsidRPr="00485A08">
        <w:rPr>
          <w:rFonts w:ascii="Times New Roman" w:hAnsi="Times New Roman" w:cs="Times New Roman"/>
        </w:rPr>
        <w:t xml:space="preserve">79].  </w:t>
      </w:r>
    </w:p>
  </w:footnote>
  <w:footnote w:id="75">
    <w:p w14:paraId="32026A26" w14:textId="7CB28494"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w:t>
      </w:r>
      <w:r w:rsidRPr="00485A08">
        <w:rPr>
          <w:rFonts w:ascii="Times New Roman" w:hAnsi="Times New Roman" w:cs="Times New Roman"/>
          <w:i/>
        </w:rPr>
        <w:t>Wang</w:t>
      </w:r>
      <w:r w:rsidR="00E17B9C" w:rsidRPr="00485A08">
        <w:rPr>
          <w:rFonts w:ascii="Times New Roman" w:hAnsi="Times New Roman" w:cs="Times New Roman"/>
          <w:iCs/>
        </w:rPr>
        <w:t>, above n 74,</w:t>
      </w:r>
      <w:r w:rsidR="00E17B9C" w:rsidRPr="00485A08">
        <w:rPr>
          <w:rFonts w:ascii="Times New Roman" w:hAnsi="Times New Roman" w:cs="Times New Roman"/>
          <w:i/>
        </w:rPr>
        <w:t xml:space="preserve"> </w:t>
      </w:r>
      <w:r w:rsidR="00E17B9C" w:rsidRPr="00485A08">
        <w:rPr>
          <w:rFonts w:ascii="Times New Roman" w:hAnsi="Times New Roman" w:cs="Times New Roman"/>
          <w:iCs/>
        </w:rPr>
        <w:t>at</w:t>
      </w:r>
      <w:r w:rsidRPr="00485A08">
        <w:rPr>
          <w:rFonts w:ascii="Times New Roman" w:hAnsi="Times New Roman" w:cs="Times New Roman"/>
          <w:iCs/>
        </w:rPr>
        <w:t xml:space="preserve"> </w:t>
      </w:r>
      <w:r w:rsidRPr="00485A08">
        <w:rPr>
          <w:rFonts w:ascii="Times New Roman" w:hAnsi="Times New Roman" w:cs="Times New Roman"/>
        </w:rPr>
        <w:t xml:space="preserve">[2]. </w:t>
      </w:r>
    </w:p>
  </w:footnote>
  <w:footnote w:id="76">
    <w:p w14:paraId="32026A27" w14:textId="1162D619"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Ms Wang’s application </w:t>
      </w:r>
      <w:r w:rsidR="006C2D01" w:rsidRPr="00485A08">
        <w:rPr>
          <w:rFonts w:ascii="Times New Roman" w:hAnsi="Times New Roman" w:cs="Times New Roman"/>
        </w:rPr>
        <w:t>was</w:t>
      </w:r>
      <w:r w:rsidRPr="00485A08">
        <w:rPr>
          <w:rFonts w:ascii="Times New Roman" w:hAnsi="Times New Roman" w:cs="Times New Roman"/>
        </w:rPr>
        <w:t xml:space="preserve"> dismissed.</w:t>
      </w:r>
    </w:p>
  </w:footnote>
  <w:footnote w:id="77">
    <w:p w14:paraId="32026A28" w14:textId="282CE04E"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The terminology of ‘attributed liability’ comes from Rees, Rice and Allen, above n 52,</w:t>
      </w:r>
      <w:r w:rsidR="00E92E4C" w:rsidRPr="00485A08">
        <w:rPr>
          <w:rFonts w:ascii="Times New Roman" w:hAnsi="Times New Roman" w:cs="Times New Roman"/>
        </w:rPr>
        <w:t xml:space="preserve"> at p 656. </w:t>
      </w:r>
    </w:p>
  </w:footnote>
  <w:footnote w:id="78">
    <w:p w14:paraId="32026A29" w14:textId="7AEB50E3"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S</w:t>
      </w:r>
      <w:r w:rsidR="009B24E5">
        <w:rPr>
          <w:rFonts w:ascii="Times New Roman" w:hAnsi="Times New Roman" w:cs="Times New Roman"/>
        </w:rPr>
        <w:t>ection</w:t>
      </w:r>
      <w:r w:rsidR="009757F1" w:rsidRPr="00485A08">
        <w:rPr>
          <w:rFonts w:ascii="Times New Roman" w:hAnsi="Times New Roman" w:cs="Times New Roman"/>
        </w:rPr>
        <w:t xml:space="preserve"> </w:t>
      </w:r>
      <w:r w:rsidRPr="00485A08">
        <w:rPr>
          <w:rFonts w:ascii="Times New Roman" w:hAnsi="Times New Roman" w:cs="Times New Roman"/>
        </w:rPr>
        <w:t>793(1) is mentioned in the F</w:t>
      </w:r>
      <w:r w:rsidR="00650EBA" w:rsidRPr="00485A08">
        <w:rPr>
          <w:rFonts w:ascii="Times New Roman" w:hAnsi="Times New Roman" w:cs="Times New Roman"/>
        </w:rPr>
        <w:t>WC</w:t>
      </w:r>
      <w:r w:rsidRPr="00485A08">
        <w:rPr>
          <w:rFonts w:ascii="Times New Roman" w:hAnsi="Times New Roman" w:cs="Times New Roman"/>
        </w:rPr>
        <w:t xml:space="preserve">, </w:t>
      </w:r>
      <w:r w:rsidRPr="00485A08">
        <w:rPr>
          <w:rFonts w:ascii="Times New Roman" w:hAnsi="Times New Roman" w:cs="Times New Roman"/>
          <w:i/>
        </w:rPr>
        <w:t xml:space="preserve">General Protections </w:t>
      </w:r>
      <w:proofErr w:type="spellStart"/>
      <w:r w:rsidRPr="00485A08">
        <w:rPr>
          <w:rFonts w:ascii="Times New Roman" w:hAnsi="Times New Roman" w:cs="Times New Roman"/>
          <w:i/>
        </w:rPr>
        <w:t>Benchbook</w:t>
      </w:r>
      <w:proofErr w:type="spellEnd"/>
      <w:r w:rsidRPr="00485A08">
        <w:rPr>
          <w:rFonts w:ascii="Times New Roman" w:hAnsi="Times New Roman" w:cs="Times New Roman"/>
        </w:rPr>
        <w:t>, although it is not given prominence: F</w:t>
      </w:r>
      <w:r w:rsidR="00AE1F05" w:rsidRPr="00485A08">
        <w:rPr>
          <w:rFonts w:ascii="Times New Roman" w:hAnsi="Times New Roman" w:cs="Times New Roman"/>
        </w:rPr>
        <w:t>WC</w:t>
      </w:r>
      <w:r w:rsidRPr="00485A08">
        <w:rPr>
          <w:rFonts w:ascii="Times New Roman" w:hAnsi="Times New Roman" w:cs="Times New Roman"/>
        </w:rPr>
        <w:t xml:space="preserve">, above n 65, </w:t>
      </w:r>
      <w:r w:rsidR="007768B0" w:rsidRPr="00485A08">
        <w:rPr>
          <w:rFonts w:ascii="Times New Roman" w:hAnsi="Times New Roman" w:cs="Times New Roman"/>
        </w:rPr>
        <w:t xml:space="preserve">at </w:t>
      </w:r>
      <w:r w:rsidRPr="00485A08">
        <w:rPr>
          <w:rFonts w:ascii="Times New Roman" w:hAnsi="Times New Roman" w:cs="Times New Roman"/>
        </w:rPr>
        <w:t>57.</w:t>
      </w:r>
    </w:p>
  </w:footnote>
  <w:footnote w:id="79">
    <w:p w14:paraId="32026A2A" w14:textId="6582D2A4"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R</w:t>
      </w:r>
      <w:r w:rsidR="00BF7EF7" w:rsidRPr="00485A08">
        <w:rPr>
          <w:rFonts w:ascii="Times New Roman" w:hAnsi="Times New Roman" w:cs="Times New Roman"/>
        </w:rPr>
        <w:t xml:space="preserve">P </w:t>
      </w:r>
      <w:r w:rsidRPr="00485A08">
        <w:rPr>
          <w:rFonts w:ascii="Times New Roman" w:hAnsi="Times New Roman" w:cs="Times New Roman"/>
        </w:rPr>
        <w:t>Austin and I</w:t>
      </w:r>
      <w:r w:rsidR="00BF7EF7" w:rsidRPr="00485A08">
        <w:rPr>
          <w:rFonts w:ascii="Times New Roman" w:hAnsi="Times New Roman" w:cs="Times New Roman"/>
        </w:rPr>
        <w:t>M</w:t>
      </w:r>
      <w:r w:rsidRPr="00485A08">
        <w:rPr>
          <w:rFonts w:ascii="Times New Roman" w:hAnsi="Times New Roman" w:cs="Times New Roman"/>
        </w:rPr>
        <w:t xml:space="preserve"> Ramsay, </w:t>
      </w:r>
      <w:r w:rsidRPr="00485A08">
        <w:rPr>
          <w:rFonts w:ascii="Times New Roman" w:hAnsi="Times New Roman" w:cs="Times New Roman"/>
          <w:i/>
        </w:rPr>
        <w:t>Ford, Austin and Ramsay’s Principles of Corporations Law</w:t>
      </w:r>
      <w:r w:rsidRPr="00485A08">
        <w:rPr>
          <w:rFonts w:ascii="Times New Roman" w:hAnsi="Times New Roman" w:cs="Times New Roman"/>
        </w:rPr>
        <w:t xml:space="preserve">, </w:t>
      </w:r>
      <w:r w:rsidR="00015424" w:rsidRPr="00485A08">
        <w:rPr>
          <w:rFonts w:ascii="Times New Roman" w:hAnsi="Times New Roman" w:cs="Times New Roman"/>
        </w:rPr>
        <w:t>17</w:t>
      </w:r>
      <w:r w:rsidR="00015424" w:rsidRPr="00485A08">
        <w:rPr>
          <w:rFonts w:ascii="Times New Roman" w:hAnsi="Times New Roman" w:cs="Times New Roman"/>
          <w:vertAlign w:val="superscript"/>
        </w:rPr>
        <w:t>th</w:t>
      </w:r>
      <w:r w:rsidR="00015424" w:rsidRPr="00485A08">
        <w:rPr>
          <w:rFonts w:ascii="Times New Roman" w:hAnsi="Times New Roman" w:cs="Times New Roman"/>
        </w:rPr>
        <w:t xml:space="preserve"> ed, </w:t>
      </w:r>
      <w:r w:rsidRPr="00485A08">
        <w:rPr>
          <w:rFonts w:ascii="Times New Roman" w:hAnsi="Times New Roman" w:cs="Times New Roman"/>
        </w:rPr>
        <w:t xml:space="preserve">LexisNexis Butterworths, NSW, 2018, </w:t>
      </w:r>
      <w:r w:rsidR="000B3CFC" w:rsidRPr="00485A08">
        <w:rPr>
          <w:rFonts w:ascii="Times New Roman" w:hAnsi="Times New Roman" w:cs="Times New Roman"/>
        </w:rPr>
        <w:t xml:space="preserve">at </w:t>
      </w:r>
      <w:r w:rsidR="00BF7EF7" w:rsidRPr="00485A08">
        <w:rPr>
          <w:rFonts w:ascii="Times New Roman" w:hAnsi="Times New Roman" w:cs="Times New Roman"/>
        </w:rPr>
        <w:t>p</w:t>
      </w:r>
      <w:r w:rsidR="00A83C98">
        <w:rPr>
          <w:rFonts w:ascii="Times New Roman" w:hAnsi="Times New Roman" w:cs="Times New Roman"/>
        </w:rPr>
        <w:t>p</w:t>
      </w:r>
      <w:r w:rsidR="00BF7EF7" w:rsidRPr="00485A08">
        <w:rPr>
          <w:rFonts w:ascii="Times New Roman" w:hAnsi="Times New Roman" w:cs="Times New Roman"/>
        </w:rPr>
        <w:t xml:space="preserve"> 1013–</w:t>
      </w:r>
      <w:r w:rsidR="00A83C98">
        <w:rPr>
          <w:rFonts w:ascii="Times New Roman" w:hAnsi="Times New Roman" w:cs="Times New Roman"/>
        </w:rPr>
        <w:t>1</w:t>
      </w:r>
      <w:r w:rsidR="00BF7EF7" w:rsidRPr="00485A08">
        <w:rPr>
          <w:rFonts w:ascii="Times New Roman" w:hAnsi="Times New Roman" w:cs="Times New Roman"/>
        </w:rPr>
        <w:t>4.</w:t>
      </w:r>
    </w:p>
  </w:footnote>
  <w:footnote w:id="80">
    <w:p w14:paraId="32026A2B" w14:textId="7B1AA3E8"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Cases on the meaning of ‘apparent authority’ in s 793 are not helpful on the question of harassment. See</w:t>
      </w:r>
      <w:r w:rsidR="00D86868" w:rsidRPr="00485A08">
        <w:rPr>
          <w:rFonts w:ascii="Times New Roman" w:hAnsi="Times New Roman" w:cs="Times New Roman"/>
        </w:rPr>
        <w:t>,</w:t>
      </w:r>
      <w:r w:rsidRPr="00485A08">
        <w:rPr>
          <w:rFonts w:ascii="Times New Roman" w:hAnsi="Times New Roman" w:cs="Times New Roman"/>
        </w:rPr>
        <w:t xml:space="preserve"> eg, </w:t>
      </w:r>
      <w:r w:rsidRPr="00485A08">
        <w:rPr>
          <w:rFonts w:ascii="Times New Roman" w:hAnsi="Times New Roman" w:cs="Times New Roman"/>
          <w:i/>
        </w:rPr>
        <w:t>Australian Nursing and Midwifery Federation v Kaizen Hospitals (Essendon) Pty Ltd</w:t>
      </w:r>
      <w:r w:rsidR="003960EF" w:rsidRPr="00485A08">
        <w:rPr>
          <w:rFonts w:ascii="Times New Roman" w:hAnsi="Times New Roman" w:cs="Times New Roman"/>
          <w:i/>
        </w:rPr>
        <w:t xml:space="preserve"> </w:t>
      </w:r>
      <w:r w:rsidRPr="00485A08">
        <w:rPr>
          <w:rFonts w:ascii="Times New Roman" w:hAnsi="Times New Roman" w:cs="Times New Roman"/>
        </w:rPr>
        <w:t>(2015) 228 FCR 225</w:t>
      </w:r>
      <w:r w:rsidR="003960EF" w:rsidRPr="00485A08">
        <w:rPr>
          <w:rFonts w:ascii="Times New Roman" w:hAnsi="Times New Roman" w:cs="Times New Roman"/>
        </w:rPr>
        <w:t>;</w:t>
      </w:r>
      <w:r w:rsidR="001247EE">
        <w:rPr>
          <w:rFonts w:ascii="Times New Roman" w:hAnsi="Times New Roman" w:cs="Times New Roman"/>
        </w:rPr>
        <w:t xml:space="preserve"> 248 IR 73;</w:t>
      </w:r>
      <w:r w:rsidR="003960EF" w:rsidRPr="00485A08">
        <w:rPr>
          <w:rFonts w:ascii="Times New Roman" w:hAnsi="Times New Roman" w:cs="Times New Roman"/>
        </w:rPr>
        <w:t xml:space="preserve"> [2015] FCAFC</w:t>
      </w:r>
      <w:r w:rsidRPr="00485A08">
        <w:rPr>
          <w:rFonts w:ascii="Times New Roman" w:hAnsi="Times New Roman" w:cs="Times New Roman"/>
        </w:rPr>
        <w:t xml:space="preserve"> </w:t>
      </w:r>
      <w:r w:rsidR="00160BBB" w:rsidRPr="00485A08">
        <w:rPr>
          <w:rFonts w:ascii="Times New Roman" w:hAnsi="Times New Roman" w:cs="Times New Roman"/>
        </w:rPr>
        <w:t xml:space="preserve">23 </w:t>
      </w:r>
      <w:r w:rsidR="0061380F" w:rsidRPr="00485A08">
        <w:rPr>
          <w:rFonts w:ascii="Times New Roman" w:hAnsi="Times New Roman" w:cs="Times New Roman"/>
        </w:rPr>
        <w:t xml:space="preserve">at </w:t>
      </w:r>
      <w:r w:rsidRPr="00485A08">
        <w:rPr>
          <w:rFonts w:ascii="Times New Roman" w:hAnsi="Times New Roman" w:cs="Times New Roman"/>
        </w:rPr>
        <w:t>[66], [107]</w:t>
      </w:r>
      <w:r w:rsidR="003C2A68" w:rsidRPr="00485A08">
        <w:rPr>
          <w:rFonts w:ascii="Times New Roman" w:hAnsi="Times New Roman" w:cs="Times New Roman"/>
        </w:rPr>
        <w:t>–</w:t>
      </w:r>
      <w:r w:rsidRPr="00485A08">
        <w:rPr>
          <w:rFonts w:ascii="Times New Roman" w:hAnsi="Times New Roman" w:cs="Times New Roman"/>
        </w:rPr>
        <w:t xml:space="preserve">[109]; </w:t>
      </w:r>
      <w:r w:rsidRPr="00485A08">
        <w:rPr>
          <w:rFonts w:ascii="Times New Roman" w:hAnsi="Times New Roman" w:cs="Times New Roman"/>
          <w:i/>
        </w:rPr>
        <w:t>Australian Building and Construction Commissioner v Upton</w:t>
      </w:r>
      <w:r w:rsidR="00160BBB" w:rsidRPr="00485A08">
        <w:rPr>
          <w:rFonts w:ascii="Times New Roman" w:hAnsi="Times New Roman" w:cs="Times New Roman"/>
          <w:i/>
        </w:rPr>
        <w:t xml:space="preserve"> </w:t>
      </w:r>
      <w:r w:rsidR="00160BBB" w:rsidRPr="00485A08">
        <w:rPr>
          <w:rFonts w:ascii="Times New Roman" w:hAnsi="Times New Roman" w:cs="Times New Roman"/>
          <w:iCs/>
        </w:rPr>
        <w:t>(2017) 270 IR 190;</w:t>
      </w:r>
      <w:r w:rsidRPr="00485A08">
        <w:rPr>
          <w:rFonts w:ascii="Times New Roman" w:hAnsi="Times New Roman" w:cs="Times New Roman"/>
          <w:i/>
        </w:rPr>
        <w:t xml:space="preserve"> </w:t>
      </w:r>
      <w:r w:rsidRPr="00485A08">
        <w:rPr>
          <w:rFonts w:ascii="Times New Roman" w:hAnsi="Times New Roman" w:cs="Times New Roman"/>
        </w:rPr>
        <w:t xml:space="preserve">[2017] FCA 847 </w:t>
      </w:r>
      <w:r w:rsidR="0061380F" w:rsidRPr="00485A08">
        <w:rPr>
          <w:rFonts w:ascii="Times New Roman" w:hAnsi="Times New Roman" w:cs="Times New Roman"/>
        </w:rPr>
        <w:t xml:space="preserve">at </w:t>
      </w:r>
      <w:r w:rsidRPr="00485A08">
        <w:rPr>
          <w:rFonts w:ascii="Times New Roman" w:hAnsi="Times New Roman" w:cs="Times New Roman"/>
        </w:rPr>
        <w:t xml:space="preserve">[177]. </w:t>
      </w:r>
    </w:p>
  </w:footnote>
  <w:footnote w:id="81">
    <w:p w14:paraId="32026A2C" w14:textId="08FE797B"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Being ‘involved’ includes aiding, abetting, procuring or inducing, or being ‘knowingly concerned in or party to’ the contravention: FW</w:t>
      </w:r>
      <w:r w:rsidR="0061380F" w:rsidRPr="00485A08">
        <w:rPr>
          <w:rFonts w:ascii="Times New Roman" w:hAnsi="Times New Roman" w:cs="Times New Roman"/>
        </w:rPr>
        <w:t xml:space="preserve"> </w:t>
      </w:r>
      <w:r w:rsidRPr="00485A08">
        <w:rPr>
          <w:rFonts w:ascii="Times New Roman" w:hAnsi="Times New Roman" w:cs="Times New Roman"/>
        </w:rPr>
        <w:t>A</w:t>
      </w:r>
      <w:r w:rsidR="0061380F" w:rsidRPr="00485A08">
        <w:rPr>
          <w:rFonts w:ascii="Times New Roman" w:hAnsi="Times New Roman" w:cs="Times New Roman"/>
        </w:rPr>
        <w:t>ct</w:t>
      </w:r>
      <w:r w:rsidRPr="00485A08">
        <w:rPr>
          <w:rFonts w:ascii="Times New Roman" w:hAnsi="Times New Roman" w:cs="Times New Roman"/>
        </w:rPr>
        <w:t xml:space="preserve"> s 550(2). </w:t>
      </w:r>
    </w:p>
  </w:footnote>
  <w:footnote w:id="82">
    <w:p w14:paraId="32026A2D" w14:textId="4FBAC5D2" w:rsidR="00526B9C" w:rsidRPr="00485A08" w:rsidRDefault="00543F23" w:rsidP="00485A08">
      <w:pPr>
        <w:spacing w:after="0"/>
        <w:jc w:val="both"/>
        <w:rPr>
          <w:rFonts w:ascii="Times New Roman" w:hAnsi="Times New Roman" w:cs="Times New Roman"/>
          <w:sz w:val="20"/>
          <w:szCs w:val="20"/>
          <w:lang w:eastAsia="ko-KR"/>
        </w:rPr>
      </w:pPr>
      <w:r w:rsidRPr="00485A08">
        <w:rPr>
          <w:rStyle w:val="FootnoteReference"/>
          <w:rFonts w:ascii="Times New Roman" w:hAnsi="Times New Roman" w:cs="Times New Roman"/>
          <w:sz w:val="20"/>
          <w:szCs w:val="20"/>
        </w:rPr>
        <w:footnoteRef/>
      </w:r>
      <w:r w:rsidRPr="00485A08">
        <w:rPr>
          <w:rFonts w:ascii="Times New Roman" w:hAnsi="Times New Roman" w:cs="Times New Roman"/>
          <w:sz w:val="20"/>
          <w:szCs w:val="20"/>
        </w:rPr>
        <w:t xml:space="preserve"> </w:t>
      </w:r>
      <w:r w:rsidR="00C97EBC">
        <w:rPr>
          <w:rFonts w:ascii="Times New Roman" w:hAnsi="Times New Roman" w:cs="Times New Roman"/>
          <w:sz w:val="20"/>
          <w:szCs w:val="20"/>
        </w:rPr>
        <w:t xml:space="preserve">Ibid </w:t>
      </w:r>
      <w:r w:rsidRPr="00485A08">
        <w:rPr>
          <w:rFonts w:ascii="Times New Roman" w:hAnsi="Times New Roman" w:cs="Times New Roman"/>
          <w:sz w:val="20"/>
          <w:szCs w:val="20"/>
        </w:rPr>
        <w:t>s 340 (‘workplace right’). See</w:t>
      </w:r>
      <w:r w:rsidR="00D86868" w:rsidRPr="00485A08">
        <w:rPr>
          <w:rFonts w:ascii="Times New Roman" w:hAnsi="Times New Roman" w:cs="Times New Roman"/>
          <w:sz w:val="20"/>
          <w:szCs w:val="20"/>
        </w:rPr>
        <w:t>,</w:t>
      </w:r>
      <w:r w:rsidRPr="00485A08">
        <w:rPr>
          <w:rFonts w:ascii="Times New Roman" w:hAnsi="Times New Roman" w:cs="Times New Roman"/>
          <w:sz w:val="20"/>
          <w:szCs w:val="20"/>
        </w:rPr>
        <w:t xml:space="preserve"> eg, </w:t>
      </w:r>
      <w:r w:rsidRPr="00485A08">
        <w:rPr>
          <w:rFonts w:ascii="Times New Roman" w:hAnsi="Times New Roman" w:cs="Times New Roman"/>
          <w:i/>
          <w:sz w:val="20"/>
          <w:szCs w:val="20"/>
          <w:lang w:val="en"/>
        </w:rPr>
        <w:t xml:space="preserve">Crawford v </w:t>
      </w:r>
      <w:proofErr w:type="spellStart"/>
      <w:r w:rsidRPr="00485A08">
        <w:rPr>
          <w:rFonts w:ascii="Times New Roman" w:hAnsi="Times New Roman" w:cs="Times New Roman"/>
          <w:i/>
          <w:sz w:val="20"/>
          <w:szCs w:val="20"/>
          <w:lang w:val="en"/>
        </w:rPr>
        <w:t>Steadmark</w:t>
      </w:r>
      <w:proofErr w:type="spellEnd"/>
      <w:r w:rsidRPr="00485A08">
        <w:rPr>
          <w:rFonts w:ascii="Times New Roman" w:hAnsi="Times New Roman" w:cs="Times New Roman"/>
          <w:i/>
          <w:sz w:val="20"/>
          <w:szCs w:val="20"/>
          <w:lang w:val="en"/>
        </w:rPr>
        <w:t xml:space="preserve"> Pty Ltd (No 2)</w:t>
      </w:r>
      <w:r w:rsidRPr="00485A08">
        <w:rPr>
          <w:rFonts w:ascii="Times New Roman" w:hAnsi="Times New Roman" w:cs="Times New Roman"/>
          <w:sz w:val="20"/>
          <w:szCs w:val="20"/>
          <w:lang w:val="en"/>
        </w:rPr>
        <w:t xml:space="preserve"> [2015] FCCA 2697</w:t>
      </w:r>
      <w:r w:rsidR="002A6A9D" w:rsidRPr="00485A08">
        <w:rPr>
          <w:rFonts w:ascii="Times New Roman" w:hAnsi="Times New Roman" w:cs="Times New Roman"/>
          <w:sz w:val="20"/>
          <w:szCs w:val="20"/>
          <w:lang w:val="en"/>
        </w:rPr>
        <w:t xml:space="preserve"> (8 October 2015)</w:t>
      </w:r>
      <w:r w:rsidRPr="00485A08">
        <w:rPr>
          <w:rFonts w:ascii="Times New Roman" w:hAnsi="Times New Roman" w:cs="Times New Roman"/>
          <w:sz w:val="20"/>
          <w:szCs w:val="20"/>
          <w:lang w:val="en"/>
        </w:rPr>
        <w:t xml:space="preserve">; </w:t>
      </w:r>
      <w:r w:rsidRPr="00485A08">
        <w:rPr>
          <w:rFonts w:ascii="Times New Roman" w:hAnsi="Times New Roman" w:cs="Times New Roman"/>
          <w:i/>
          <w:sz w:val="20"/>
          <w:szCs w:val="20"/>
        </w:rPr>
        <w:t>Wroughton</w:t>
      </w:r>
      <w:r w:rsidR="005A14EC" w:rsidRPr="00485A08">
        <w:rPr>
          <w:rFonts w:ascii="Times New Roman" w:hAnsi="Times New Roman" w:cs="Times New Roman"/>
          <w:iCs/>
          <w:sz w:val="20"/>
          <w:szCs w:val="20"/>
        </w:rPr>
        <w:t xml:space="preserve">, above </w:t>
      </w:r>
      <w:r w:rsidR="005B623D" w:rsidRPr="00485A08">
        <w:rPr>
          <w:rFonts w:ascii="Times New Roman" w:hAnsi="Times New Roman" w:cs="Times New Roman"/>
          <w:iCs/>
          <w:sz w:val="20"/>
          <w:szCs w:val="20"/>
        </w:rPr>
        <w:t xml:space="preserve">n </w:t>
      </w:r>
      <w:r w:rsidR="005A14EC" w:rsidRPr="00485A08">
        <w:rPr>
          <w:rFonts w:ascii="Times New Roman" w:hAnsi="Times New Roman" w:cs="Times New Roman"/>
          <w:iCs/>
          <w:sz w:val="20"/>
          <w:szCs w:val="20"/>
        </w:rPr>
        <w:t>74, at</w:t>
      </w:r>
      <w:r w:rsidRPr="00485A08">
        <w:rPr>
          <w:rFonts w:ascii="Times New Roman" w:hAnsi="Times New Roman" w:cs="Times New Roman"/>
          <w:iCs/>
          <w:sz w:val="20"/>
          <w:szCs w:val="20"/>
        </w:rPr>
        <w:t xml:space="preserve"> </w:t>
      </w:r>
      <w:r w:rsidRPr="00485A08">
        <w:rPr>
          <w:rFonts w:ascii="Times New Roman" w:hAnsi="Times New Roman" w:cs="Times New Roman"/>
          <w:sz w:val="20"/>
          <w:szCs w:val="20"/>
        </w:rPr>
        <w:t xml:space="preserve">[55], [79]; </w:t>
      </w:r>
      <w:proofErr w:type="spellStart"/>
      <w:r w:rsidRPr="00485A08">
        <w:rPr>
          <w:rFonts w:ascii="Times New Roman" w:hAnsi="Times New Roman" w:cs="Times New Roman"/>
          <w:i/>
          <w:sz w:val="20"/>
          <w:szCs w:val="20"/>
        </w:rPr>
        <w:t>Mikulic</w:t>
      </w:r>
      <w:proofErr w:type="spellEnd"/>
      <w:r w:rsidR="00210587" w:rsidRPr="00485A08">
        <w:rPr>
          <w:rFonts w:ascii="Times New Roman" w:hAnsi="Times New Roman" w:cs="Times New Roman"/>
          <w:iCs/>
          <w:sz w:val="20"/>
          <w:szCs w:val="20"/>
        </w:rPr>
        <w:t xml:space="preserve">, above </w:t>
      </w:r>
      <w:r w:rsidR="005B623D" w:rsidRPr="00485A08">
        <w:rPr>
          <w:rFonts w:ascii="Times New Roman" w:hAnsi="Times New Roman" w:cs="Times New Roman"/>
          <w:iCs/>
          <w:sz w:val="20"/>
          <w:szCs w:val="20"/>
        </w:rPr>
        <w:t xml:space="preserve">n </w:t>
      </w:r>
      <w:r w:rsidR="00210587" w:rsidRPr="00485A08">
        <w:rPr>
          <w:rFonts w:ascii="Times New Roman" w:hAnsi="Times New Roman" w:cs="Times New Roman"/>
          <w:iCs/>
          <w:sz w:val="20"/>
          <w:szCs w:val="20"/>
        </w:rPr>
        <w:t>32, at</w:t>
      </w:r>
      <w:r w:rsidRPr="00485A08">
        <w:rPr>
          <w:rFonts w:ascii="Times New Roman" w:hAnsi="Times New Roman" w:cs="Times New Roman"/>
          <w:i/>
          <w:sz w:val="20"/>
          <w:szCs w:val="20"/>
        </w:rPr>
        <w:t xml:space="preserve"> </w:t>
      </w:r>
      <w:r w:rsidRPr="00485A08">
        <w:rPr>
          <w:rFonts w:ascii="Times New Roman" w:hAnsi="Times New Roman" w:cs="Times New Roman"/>
          <w:sz w:val="20"/>
          <w:szCs w:val="20"/>
        </w:rPr>
        <w:t xml:space="preserve">[231]. </w:t>
      </w:r>
    </w:p>
  </w:footnote>
  <w:footnote w:id="83">
    <w:p w14:paraId="32026A2E" w14:textId="26473DF3"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Others have also recommended the enactment of explicit sexual harassment provisions into Part 3-1: VLA, above n 12, </w:t>
      </w:r>
      <w:r w:rsidR="003C2A68" w:rsidRPr="00485A08">
        <w:rPr>
          <w:rFonts w:ascii="Times New Roman" w:hAnsi="Times New Roman" w:cs="Times New Roman"/>
        </w:rPr>
        <w:t xml:space="preserve">at </w:t>
      </w:r>
      <w:r w:rsidRPr="00485A08">
        <w:rPr>
          <w:rFonts w:ascii="Times New Roman" w:hAnsi="Times New Roman" w:cs="Times New Roman"/>
        </w:rPr>
        <w:t xml:space="preserve">36; </w:t>
      </w:r>
      <w:r w:rsidR="00646FF9">
        <w:rPr>
          <w:rFonts w:ascii="Times New Roman" w:hAnsi="Times New Roman" w:cs="Times New Roman"/>
        </w:rPr>
        <w:t xml:space="preserve">Australian </w:t>
      </w:r>
      <w:r w:rsidRPr="00485A08">
        <w:rPr>
          <w:rFonts w:ascii="Times New Roman" w:hAnsi="Times New Roman" w:cs="Times New Roman"/>
        </w:rPr>
        <w:t xml:space="preserve">Discrimination Law Experts Group, above n 12, </w:t>
      </w:r>
      <w:r w:rsidR="003C2A68" w:rsidRPr="00485A08">
        <w:rPr>
          <w:rFonts w:ascii="Times New Roman" w:hAnsi="Times New Roman" w:cs="Times New Roman"/>
        </w:rPr>
        <w:t xml:space="preserve">at </w:t>
      </w:r>
      <w:r w:rsidRPr="00485A08">
        <w:rPr>
          <w:rFonts w:ascii="Times New Roman" w:hAnsi="Times New Roman" w:cs="Times New Roman"/>
        </w:rPr>
        <w:t>44.</w:t>
      </w:r>
    </w:p>
  </w:footnote>
  <w:footnote w:id="84">
    <w:p w14:paraId="32026A2F" w14:textId="264FAB7D"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See</w:t>
      </w:r>
      <w:r w:rsidR="00AA0D99" w:rsidRPr="00485A08">
        <w:rPr>
          <w:rFonts w:ascii="Times New Roman" w:hAnsi="Times New Roman" w:cs="Times New Roman"/>
        </w:rPr>
        <w:t>,</w:t>
      </w:r>
      <w:r w:rsidRPr="00485A08">
        <w:rPr>
          <w:rFonts w:ascii="Times New Roman" w:hAnsi="Times New Roman" w:cs="Times New Roman"/>
        </w:rPr>
        <w:t xml:space="preserve"> eg, SD</w:t>
      </w:r>
      <w:r w:rsidR="00AA0D99" w:rsidRPr="00485A08">
        <w:rPr>
          <w:rFonts w:ascii="Times New Roman" w:hAnsi="Times New Roman" w:cs="Times New Roman"/>
        </w:rPr>
        <w:t xml:space="preserve"> </w:t>
      </w:r>
      <w:r w:rsidRPr="00485A08">
        <w:rPr>
          <w:rFonts w:ascii="Times New Roman" w:hAnsi="Times New Roman" w:cs="Times New Roman"/>
        </w:rPr>
        <w:t>A</w:t>
      </w:r>
      <w:r w:rsidR="00AA0D99" w:rsidRPr="00485A08">
        <w:rPr>
          <w:rFonts w:ascii="Times New Roman" w:hAnsi="Times New Roman" w:cs="Times New Roman"/>
        </w:rPr>
        <w:t>ct</w:t>
      </w:r>
      <w:r w:rsidRPr="00485A08">
        <w:rPr>
          <w:rFonts w:ascii="Times New Roman" w:hAnsi="Times New Roman" w:cs="Times New Roman"/>
        </w:rPr>
        <w:t xml:space="preserve"> s</w:t>
      </w:r>
      <w:r w:rsidR="00900683" w:rsidRPr="00485A08">
        <w:rPr>
          <w:rFonts w:ascii="Times New Roman" w:hAnsi="Times New Roman" w:cs="Times New Roman"/>
        </w:rPr>
        <w:t>s</w:t>
      </w:r>
      <w:r w:rsidRPr="00485A08">
        <w:rPr>
          <w:rFonts w:ascii="Times New Roman" w:hAnsi="Times New Roman" w:cs="Times New Roman"/>
        </w:rPr>
        <w:t xml:space="preserve"> 28A,</w:t>
      </w:r>
      <w:r w:rsidR="00900683" w:rsidRPr="00485A08">
        <w:rPr>
          <w:rFonts w:ascii="Times New Roman" w:hAnsi="Times New Roman" w:cs="Times New Roman"/>
        </w:rPr>
        <w:t xml:space="preserve"> </w:t>
      </w:r>
      <w:r w:rsidRPr="00485A08">
        <w:rPr>
          <w:rFonts w:ascii="Times New Roman" w:hAnsi="Times New Roman" w:cs="Times New Roman"/>
        </w:rPr>
        <w:t xml:space="preserve">106. </w:t>
      </w:r>
      <w:bookmarkStart w:id="4" w:name="_Hlk24262339"/>
      <w:r w:rsidRPr="00485A08">
        <w:rPr>
          <w:rFonts w:ascii="Times New Roman" w:hAnsi="Times New Roman" w:cs="Times New Roman"/>
        </w:rPr>
        <w:t xml:space="preserve">For commentary, see Rees, Rice and Allen, above n 52, </w:t>
      </w:r>
      <w:r w:rsidR="00E82413" w:rsidRPr="00485A08">
        <w:rPr>
          <w:rFonts w:ascii="Times New Roman" w:hAnsi="Times New Roman" w:cs="Times New Roman"/>
        </w:rPr>
        <w:t>at p</w:t>
      </w:r>
      <w:r w:rsidR="00144497">
        <w:rPr>
          <w:rFonts w:ascii="Times New Roman" w:hAnsi="Times New Roman" w:cs="Times New Roman"/>
        </w:rPr>
        <w:t>p</w:t>
      </w:r>
      <w:r w:rsidR="00E82413" w:rsidRPr="00485A08">
        <w:rPr>
          <w:rFonts w:ascii="Times New Roman" w:hAnsi="Times New Roman" w:cs="Times New Roman"/>
        </w:rPr>
        <w:t xml:space="preserve"> 630–74</w:t>
      </w:r>
      <w:r w:rsidRPr="00485A08">
        <w:rPr>
          <w:rFonts w:ascii="Times New Roman" w:hAnsi="Times New Roman" w:cs="Times New Roman"/>
        </w:rPr>
        <w:t xml:space="preserve">; Gaze and Smith, above n 5, </w:t>
      </w:r>
      <w:r w:rsidR="000B3CFC" w:rsidRPr="00485A08">
        <w:rPr>
          <w:rFonts w:ascii="Times New Roman" w:hAnsi="Times New Roman" w:cs="Times New Roman"/>
        </w:rPr>
        <w:t>at p</w:t>
      </w:r>
      <w:r w:rsidR="00A9755C">
        <w:rPr>
          <w:rFonts w:ascii="Times New Roman" w:hAnsi="Times New Roman" w:cs="Times New Roman"/>
        </w:rPr>
        <w:t>p</w:t>
      </w:r>
      <w:r w:rsidR="000B3CFC" w:rsidRPr="00485A08">
        <w:rPr>
          <w:rFonts w:ascii="Times New Roman" w:hAnsi="Times New Roman" w:cs="Times New Roman"/>
        </w:rPr>
        <w:t xml:space="preserve"> 131–4. </w:t>
      </w:r>
    </w:p>
    <w:bookmarkEnd w:id="4"/>
  </w:footnote>
  <w:footnote w:id="85">
    <w:p w14:paraId="32026A30" w14:textId="1620513F" w:rsidR="00526B9C" w:rsidRPr="00485A08" w:rsidRDefault="00543F23" w:rsidP="00485A08">
      <w:pPr>
        <w:spacing w:after="0"/>
        <w:jc w:val="both"/>
        <w:rPr>
          <w:rFonts w:ascii="Times New Roman" w:hAnsi="Times New Roman" w:cs="Times New Roman"/>
          <w:sz w:val="20"/>
          <w:szCs w:val="20"/>
        </w:rPr>
      </w:pPr>
      <w:r w:rsidRPr="00485A08">
        <w:rPr>
          <w:rStyle w:val="FootnoteReference"/>
          <w:rFonts w:ascii="Times New Roman" w:hAnsi="Times New Roman" w:cs="Times New Roman"/>
          <w:sz w:val="20"/>
          <w:szCs w:val="20"/>
        </w:rPr>
        <w:footnoteRef/>
      </w:r>
      <w:r w:rsidRPr="00485A08">
        <w:rPr>
          <w:rFonts w:ascii="Times New Roman" w:hAnsi="Times New Roman" w:cs="Times New Roman"/>
          <w:sz w:val="20"/>
          <w:szCs w:val="20"/>
        </w:rPr>
        <w:t xml:space="preserve"> See</w:t>
      </w:r>
      <w:r w:rsidR="00AA0D99" w:rsidRPr="00485A08">
        <w:rPr>
          <w:rFonts w:ascii="Times New Roman" w:hAnsi="Times New Roman" w:cs="Times New Roman"/>
          <w:sz w:val="20"/>
          <w:szCs w:val="20"/>
        </w:rPr>
        <w:t>,</w:t>
      </w:r>
      <w:r w:rsidRPr="00485A08">
        <w:rPr>
          <w:rFonts w:ascii="Times New Roman" w:hAnsi="Times New Roman" w:cs="Times New Roman"/>
          <w:sz w:val="20"/>
          <w:szCs w:val="20"/>
        </w:rPr>
        <w:t xml:space="preserve"> eg, McDonald and Charlesworth, above n 12, especially</w:t>
      </w:r>
      <w:r w:rsidR="008D75DB" w:rsidRPr="00485A08">
        <w:rPr>
          <w:rFonts w:ascii="Times New Roman" w:hAnsi="Times New Roman" w:cs="Times New Roman"/>
          <w:sz w:val="20"/>
          <w:szCs w:val="20"/>
        </w:rPr>
        <w:t xml:space="preserve"> at</w:t>
      </w:r>
      <w:r w:rsidRPr="00485A08">
        <w:rPr>
          <w:rFonts w:ascii="Times New Roman" w:hAnsi="Times New Roman" w:cs="Times New Roman"/>
          <w:sz w:val="20"/>
          <w:szCs w:val="20"/>
        </w:rPr>
        <w:t xml:space="preserve"> 16</w:t>
      </w:r>
      <w:r w:rsidR="002A6A9D" w:rsidRPr="00485A08">
        <w:rPr>
          <w:rFonts w:ascii="Times New Roman" w:hAnsi="Times New Roman" w:cs="Times New Roman"/>
          <w:sz w:val="20"/>
          <w:szCs w:val="20"/>
        </w:rPr>
        <w:t>–</w:t>
      </w:r>
      <w:r w:rsidRPr="00485A08">
        <w:rPr>
          <w:rFonts w:ascii="Times New Roman" w:hAnsi="Times New Roman" w:cs="Times New Roman"/>
          <w:sz w:val="20"/>
          <w:szCs w:val="20"/>
        </w:rPr>
        <w:t xml:space="preserve">25; VLA, above n 12; </w:t>
      </w:r>
      <w:r w:rsidR="00646FF9" w:rsidRPr="00457D51">
        <w:rPr>
          <w:rFonts w:ascii="Times New Roman" w:hAnsi="Times New Roman" w:cs="Times New Roman"/>
          <w:sz w:val="20"/>
          <w:szCs w:val="20"/>
        </w:rPr>
        <w:t xml:space="preserve">Australian </w:t>
      </w:r>
      <w:r w:rsidRPr="00485A08">
        <w:rPr>
          <w:rFonts w:ascii="Times New Roman" w:hAnsi="Times New Roman" w:cs="Times New Roman"/>
          <w:sz w:val="20"/>
          <w:szCs w:val="20"/>
        </w:rPr>
        <w:t>Discrimination Law Experts Group, above n 12.</w:t>
      </w:r>
    </w:p>
  </w:footnote>
  <w:footnote w:id="86">
    <w:p w14:paraId="32026A31" w14:textId="226B9D18"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See</w:t>
      </w:r>
      <w:r w:rsidR="00AA0D99" w:rsidRPr="00485A08">
        <w:rPr>
          <w:rFonts w:ascii="Times New Roman" w:hAnsi="Times New Roman" w:cs="Times New Roman"/>
        </w:rPr>
        <w:t>,</w:t>
      </w:r>
      <w:r w:rsidRPr="00485A08">
        <w:rPr>
          <w:rFonts w:ascii="Times New Roman" w:hAnsi="Times New Roman" w:cs="Times New Roman"/>
        </w:rPr>
        <w:t xml:space="preserve"> eg, EO</w:t>
      </w:r>
      <w:r w:rsidR="00AA0D99" w:rsidRPr="00485A08">
        <w:rPr>
          <w:rFonts w:ascii="Times New Roman" w:hAnsi="Times New Roman" w:cs="Times New Roman"/>
        </w:rPr>
        <w:t xml:space="preserve"> </w:t>
      </w:r>
      <w:r w:rsidRPr="00485A08">
        <w:rPr>
          <w:rFonts w:ascii="Times New Roman" w:hAnsi="Times New Roman" w:cs="Times New Roman"/>
        </w:rPr>
        <w:t>A</w:t>
      </w:r>
      <w:r w:rsidR="00AA0D99" w:rsidRPr="00485A08">
        <w:rPr>
          <w:rFonts w:ascii="Times New Roman" w:hAnsi="Times New Roman" w:cs="Times New Roman"/>
        </w:rPr>
        <w:t>ct</w:t>
      </w:r>
      <w:r w:rsidRPr="00485A08">
        <w:rPr>
          <w:rFonts w:ascii="Times New Roman" w:hAnsi="Times New Roman" w:cs="Times New Roman"/>
        </w:rPr>
        <w:t xml:space="preserve"> (Vic) s 3(d)(iii);</w:t>
      </w:r>
      <w:r w:rsidR="00572A78" w:rsidRPr="00485A08">
        <w:rPr>
          <w:rFonts w:ascii="Times New Roman" w:hAnsi="Times New Roman" w:cs="Times New Roman"/>
        </w:rPr>
        <w:t xml:space="preserve"> </w:t>
      </w:r>
      <w:r w:rsidR="008B5A19" w:rsidRPr="00485A08">
        <w:rPr>
          <w:rFonts w:ascii="Times New Roman" w:hAnsi="Times New Roman" w:cs="Times New Roman"/>
        </w:rPr>
        <w:t>D Act (ACT)</w:t>
      </w:r>
      <w:r w:rsidRPr="00485A08">
        <w:rPr>
          <w:rFonts w:ascii="Times New Roman" w:hAnsi="Times New Roman" w:cs="Times New Roman"/>
        </w:rPr>
        <w:t xml:space="preserve"> s 4(d)(iii).</w:t>
      </w:r>
    </w:p>
  </w:footnote>
  <w:footnote w:id="87">
    <w:p w14:paraId="32026A32" w14:textId="13A45F27"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McDonald and Charlesworth, above n 12, </w:t>
      </w:r>
      <w:r w:rsidR="003C2A68" w:rsidRPr="00485A08">
        <w:rPr>
          <w:rFonts w:ascii="Times New Roman" w:hAnsi="Times New Roman" w:cs="Times New Roman"/>
        </w:rPr>
        <w:t xml:space="preserve">at </w:t>
      </w:r>
      <w:r w:rsidRPr="00485A08">
        <w:rPr>
          <w:rFonts w:ascii="Times New Roman" w:hAnsi="Times New Roman" w:cs="Times New Roman"/>
        </w:rPr>
        <w:t>16</w:t>
      </w:r>
      <w:r w:rsidR="003C2A68" w:rsidRPr="00485A08">
        <w:rPr>
          <w:rFonts w:ascii="Times New Roman" w:hAnsi="Times New Roman" w:cs="Times New Roman"/>
        </w:rPr>
        <w:t>–</w:t>
      </w:r>
      <w:r w:rsidR="00EC3741">
        <w:rPr>
          <w:rFonts w:ascii="Times New Roman" w:hAnsi="Times New Roman" w:cs="Times New Roman"/>
        </w:rPr>
        <w:t>1</w:t>
      </w:r>
      <w:r w:rsidRPr="00485A08">
        <w:rPr>
          <w:rFonts w:ascii="Times New Roman" w:hAnsi="Times New Roman" w:cs="Times New Roman"/>
        </w:rPr>
        <w:t xml:space="preserve">7; VLA, above n 12, </w:t>
      </w:r>
      <w:r w:rsidR="003C2A68" w:rsidRPr="00485A08">
        <w:rPr>
          <w:rFonts w:ascii="Times New Roman" w:hAnsi="Times New Roman" w:cs="Times New Roman"/>
        </w:rPr>
        <w:t xml:space="preserve">at </w:t>
      </w:r>
      <w:r w:rsidRPr="00485A08">
        <w:rPr>
          <w:rFonts w:ascii="Times New Roman" w:hAnsi="Times New Roman" w:cs="Times New Roman"/>
        </w:rPr>
        <w:t>25</w:t>
      </w:r>
      <w:r w:rsidR="003C2A68" w:rsidRPr="00485A08">
        <w:rPr>
          <w:rFonts w:ascii="Times New Roman" w:hAnsi="Times New Roman" w:cs="Times New Roman"/>
        </w:rPr>
        <w:t>–</w:t>
      </w:r>
      <w:r w:rsidRPr="00485A08">
        <w:rPr>
          <w:rFonts w:ascii="Times New Roman" w:hAnsi="Times New Roman" w:cs="Times New Roman"/>
        </w:rPr>
        <w:t xml:space="preserve">7; Department of Justice, </w:t>
      </w:r>
      <w:r w:rsidRPr="00485A08">
        <w:rPr>
          <w:rFonts w:ascii="Times New Roman" w:hAnsi="Times New Roman" w:cs="Times New Roman"/>
          <w:i/>
        </w:rPr>
        <w:t>An Equality Act for a Fairer Victoria: Equal Opportunity Review Final Report</w:t>
      </w:r>
      <w:r w:rsidRPr="00485A08">
        <w:rPr>
          <w:rFonts w:ascii="Times New Roman" w:hAnsi="Times New Roman" w:cs="Times New Roman"/>
        </w:rPr>
        <w:t xml:space="preserve">, Victoria, </w:t>
      </w:r>
      <w:r w:rsidR="00CF0D2C">
        <w:rPr>
          <w:rFonts w:ascii="Times New Roman" w:hAnsi="Times New Roman" w:cs="Times New Roman"/>
        </w:rPr>
        <w:t xml:space="preserve">June </w:t>
      </w:r>
      <w:r w:rsidRPr="00485A08">
        <w:rPr>
          <w:rFonts w:ascii="Times New Roman" w:hAnsi="Times New Roman" w:cs="Times New Roman"/>
        </w:rPr>
        <w:t xml:space="preserve">2008; </w:t>
      </w:r>
      <w:r w:rsidR="00646FF9">
        <w:rPr>
          <w:rFonts w:ascii="Times New Roman" w:hAnsi="Times New Roman" w:cs="Times New Roman"/>
        </w:rPr>
        <w:t xml:space="preserve">Australian </w:t>
      </w:r>
      <w:r w:rsidRPr="00485A08">
        <w:rPr>
          <w:rFonts w:ascii="Times New Roman" w:hAnsi="Times New Roman" w:cs="Times New Roman"/>
        </w:rPr>
        <w:t xml:space="preserve">Discrimination Law Experts Group, above n 12, </w:t>
      </w:r>
      <w:r w:rsidR="003C2A68" w:rsidRPr="00485A08">
        <w:rPr>
          <w:rFonts w:ascii="Times New Roman" w:hAnsi="Times New Roman" w:cs="Times New Roman"/>
        </w:rPr>
        <w:t xml:space="preserve">at </w:t>
      </w:r>
      <w:r w:rsidRPr="00485A08">
        <w:rPr>
          <w:rFonts w:ascii="Times New Roman" w:hAnsi="Times New Roman" w:cs="Times New Roman"/>
        </w:rPr>
        <w:t>38.</w:t>
      </w:r>
    </w:p>
  </w:footnote>
  <w:footnote w:id="88">
    <w:p w14:paraId="32026A33" w14:textId="6A784F46" w:rsidR="00526B9C" w:rsidRPr="00485A08" w:rsidRDefault="00543F23" w:rsidP="00485A08">
      <w:pPr>
        <w:pStyle w:val="FootnoteText"/>
        <w:jc w:val="both"/>
        <w:rPr>
          <w:rFonts w:ascii="Times New Roman" w:hAnsi="Times New Roman" w:cs="Times New Roman"/>
        </w:rPr>
      </w:pPr>
      <w:r w:rsidRPr="00485A08">
        <w:rPr>
          <w:rStyle w:val="FootnoteReference"/>
          <w:rFonts w:ascii="Times New Roman" w:hAnsi="Times New Roman" w:cs="Times New Roman"/>
        </w:rPr>
        <w:footnoteRef/>
      </w:r>
      <w:r w:rsidRPr="00485A08">
        <w:rPr>
          <w:rFonts w:ascii="Times New Roman" w:hAnsi="Times New Roman" w:cs="Times New Roman"/>
        </w:rPr>
        <w:t xml:space="preserve"> Chapman, Gaze and Orifici, above n 8, </w:t>
      </w:r>
      <w:r w:rsidR="003C2A68" w:rsidRPr="00485A08">
        <w:rPr>
          <w:rFonts w:ascii="Times New Roman" w:hAnsi="Times New Roman" w:cs="Times New Roman"/>
        </w:rPr>
        <w:t xml:space="preserve">at </w:t>
      </w:r>
      <w:r w:rsidRPr="00485A08">
        <w:rPr>
          <w:rFonts w:ascii="Times New Roman" w:hAnsi="Times New Roman" w:cs="Times New Roman"/>
        </w:rPr>
        <w:t>226</w:t>
      </w:r>
      <w:r w:rsidR="003C2A68" w:rsidRPr="00485A08">
        <w:rPr>
          <w:rFonts w:ascii="Times New Roman" w:hAnsi="Times New Roman" w:cs="Times New Roman"/>
        </w:rPr>
        <w:t>–</w:t>
      </w:r>
      <w:r w:rsidRPr="00485A08">
        <w:rPr>
          <w:rFonts w:ascii="Times New Roman" w:hAnsi="Times New Roman" w:cs="Times New Roman"/>
        </w:rPr>
        <w:t>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979E2" w14:textId="77777777" w:rsidR="005D1CDA" w:rsidRDefault="005D1C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2C22F" w14:textId="3B60BDB1" w:rsidR="005D1CDA" w:rsidRPr="005D1CDA" w:rsidRDefault="005D1CDA">
    <w:pPr>
      <w:pStyle w:val="Head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6F8E2" w14:textId="3DEBA021" w:rsidR="005D1CDA" w:rsidRPr="005D1CDA" w:rsidRDefault="005D1CDA">
    <w:pPr>
      <w:pStyle w:val="Header"/>
      <w:rPr>
        <w:sz w:val="18"/>
        <w:szCs w:val="18"/>
      </w:rPr>
    </w:pPr>
    <w:bookmarkStart w:id="5" w:name="_GoBack"/>
    <w:bookmarkEnd w:id="5"/>
    <w:r w:rsidRPr="005D1CDA">
      <w:rPr>
        <w:sz w:val="18"/>
        <w:szCs w:val="18"/>
      </w:rPr>
      <w:t xml:space="preserve">This article was published in: (2020) 33(1) </w:t>
    </w:r>
    <w:r w:rsidRPr="005D1CDA">
      <w:rPr>
        <w:i/>
        <w:iCs/>
        <w:sz w:val="18"/>
        <w:szCs w:val="18"/>
      </w:rPr>
      <w:t>Australian Journal of Labour Law</w:t>
    </w:r>
    <w:r w:rsidRPr="005D1CDA">
      <w:rPr>
        <w:sz w:val="18"/>
        <w:szCs w:val="18"/>
      </w:rPr>
      <w:t>, 107-121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1520" w:hanging="296"/>
      </w:pPr>
      <w:rPr>
        <w:rFonts w:ascii="Times New Roman" w:hAnsi="Times New Roman" w:cs="Times New Roman"/>
        <w:b w:val="0"/>
        <w:bCs w:val="0"/>
        <w:i/>
        <w:iCs/>
        <w:color w:val="231F20"/>
        <w:w w:val="99"/>
        <w:sz w:val="20"/>
        <w:szCs w:val="20"/>
      </w:rPr>
    </w:lvl>
    <w:lvl w:ilvl="1">
      <w:numFmt w:val="bullet"/>
      <w:lvlText w:val="•"/>
      <w:lvlJc w:val="left"/>
      <w:pPr>
        <w:ind w:left="2222" w:hanging="296"/>
      </w:pPr>
    </w:lvl>
    <w:lvl w:ilvl="2">
      <w:numFmt w:val="bullet"/>
      <w:lvlText w:val="•"/>
      <w:lvlJc w:val="left"/>
      <w:pPr>
        <w:ind w:left="2924" w:hanging="296"/>
      </w:pPr>
    </w:lvl>
    <w:lvl w:ilvl="3">
      <w:numFmt w:val="bullet"/>
      <w:lvlText w:val="•"/>
      <w:lvlJc w:val="left"/>
      <w:pPr>
        <w:ind w:left="3626" w:hanging="296"/>
      </w:pPr>
    </w:lvl>
    <w:lvl w:ilvl="4">
      <w:numFmt w:val="bullet"/>
      <w:lvlText w:val="•"/>
      <w:lvlJc w:val="left"/>
      <w:pPr>
        <w:ind w:left="4328" w:hanging="296"/>
      </w:pPr>
    </w:lvl>
    <w:lvl w:ilvl="5">
      <w:numFmt w:val="bullet"/>
      <w:lvlText w:val="•"/>
      <w:lvlJc w:val="left"/>
      <w:pPr>
        <w:ind w:left="5030" w:hanging="296"/>
      </w:pPr>
    </w:lvl>
    <w:lvl w:ilvl="6">
      <w:numFmt w:val="bullet"/>
      <w:lvlText w:val="•"/>
      <w:lvlJc w:val="left"/>
      <w:pPr>
        <w:ind w:left="5732" w:hanging="296"/>
      </w:pPr>
    </w:lvl>
    <w:lvl w:ilvl="7">
      <w:numFmt w:val="bullet"/>
      <w:lvlText w:val="•"/>
      <w:lvlJc w:val="left"/>
      <w:pPr>
        <w:ind w:left="6434" w:hanging="296"/>
      </w:pPr>
    </w:lvl>
    <w:lvl w:ilvl="8">
      <w:numFmt w:val="bullet"/>
      <w:lvlText w:val="•"/>
      <w:lvlJc w:val="left"/>
      <w:pPr>
        <w:ind w:left="7136" w:hanging="296"/>
      </w:pPr>
    </w:lvl>
  </w:abstractNum>
  <w:abstractNum w:abstractNumId="1" w15:restartNumberingAfterBreak="0">
    <w:nsid w:val="0156654E"/>
    <w:multiLevelType w:val="hybridMultilevel"/>
    <w:tmpl w:val="4D9CC7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8D0788"/>
    <w:multiLevelType w:val="hybridMultilevel"/>
    <w:tmpl w:val="189EDBBE"/>
    <w:lvl w:ilvl="0" w:tplc="153E3644">
      <w:start w:val="1"/>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1077BBA"/>
    <w:multiLevelType w:val="hybridMultilevel"/>
    <w:tmpl w:val="B53E89F2"/>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3BD5F78"/>
    <w:multiLevelType w:val="hybridMultilevel"/>
    <w:tmpl w:val="0E38E4B8"/>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88E4668"/>
    <w:multiLevelType w:val="multilevel"/>
    <w:tmpl w:val="F258AF12"/>
    <w:lvl w:ilvl="0">
      <w:start w:val="1"/>
      <w:numFmt w:val="decimal"/>
      <w:lvlText w:val="%1."/>
      <w:lvlJc w:val="left"/>
      <w:pPr>
        <w:tabs>
          <w:tab w:val="num" w:pos="851"/>
        </w:tabs>
        <w:ind w:left="851" w:hanging="851"/>
      </w:pPr>
      <w:rPr>
        <w:rFonts w:cs="Times New Roman" w:hint="default"/>
        <w:i w:val="0"/>
      </w:rPr>
    </w:lvl>
    <w:lvl w:ilvl="1">
      <w:start w:val="1"/>
      <w:numFmt w:val="lowerLetter"/>
      <w:lvlText w:val="%2)"/>
      <w:lvlJc w:val="left"/>
      <w:pPr>
        <w:tabs>
          <w:tab w:val="num" w:pos="1418"/>
        </w:tabs>
        <w:ind w:left="1418" w:hanging="567"/>
      </w:pPr>
      <w:rPr>
        <w:rFonts w:cs="Times New Roman" w:hint="default"/>
        <w:b w:val="0"/>
      </w:rPr>
    </w:lvl>
    <w:lvl w:ilvl="2">
      <w:start w:val="1"/>
      <w:numFmt w:val="lowerRoman"/>
      <w:lvlText w:val="%3)"/>
      <w:lvlJc w:val="left"/>
      <w:pPr>
        <w:tabs>
          <w:tab w:val="num" w:pos="2138"/>
        </w:tabs>
        <w:ind w:left="1985" w:hanging="567"/>
      </w:pPr>
      <w:rPr>
        <w:rFonts w:cs="Times New Roman" w:hint="default"/>
      </w:rPr>
    </w:lvl>
    <w:lvl w:ilvl="3">
      <w:start w:val="1"/>
      <w:numFmt w:val="decimal"/>
      <w:isLgl/>
      <w:lvlText w:val="(%4)"/>
      <w:lvlJc w:val="left"/>
      <w:pPr>
        <w:tabs>
          <w:tab w:val="num" w:pos="1418"/>
        </w:tabs>
        <w:ind w:left="1418" w:hanging="567"/>
      </w:pPr>
      <w:rPr>
        <w:rFonts w:cs="Times New Roman" w:hint="default"/>
      </w:rPr>
    </w:lvl>
    <w:lvl w:ilvl="4">
      <w:start w:val="1"/>
      <w:numFmt w:val="lowerLetter"/>
      <w:lvlText w:val="(%5)"/>
      <w:lvlJc w:val="left"/>
      <w:pPr>
        <w:tabs>
          <w:tab w:val="num" w:pos="1985"/>
        </w:tabs>
        <w:ind w:left="1985" w:hanging="567"/>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15:restartNumberingAfterBreak="0">
    <w:nsid w:val="19BC7F4D"/>
    <w:multiLevelType w:val="hybridMultilevel"/>
    <w:tmpl w:val="AAC498EA"/>
    <w:lvl w:ilvl="0" w:tplc="3EE89DC8">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C03516"/>
    <w:multiLevelType w:val="hybridMultilevel"/>
    <w:tmpl w:val="855C84EE"/>
    <w:lvl w:ilvl="0" w:tplc="EBDC0C56">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5020A0"/>
    <w:multiLevelType w:val="hybridMultilevel"/>
    <w:tmpl w:val="BD82CC2A"/>
    <w:lvl w:ilvl="0" w:tplc="0B483212">
      <w:start w:val="1"/>
      <w:numFmt w:val="bullet"/>
      <w:lvlText w:val="•"/>
      <w:lvlJc w:val="left"/>
      <w:pPr>
        <w:tabs>
          <w:tab w:val="num" w:pos="720"/>
        </w:tabs>
        <w:ind w:left="720" w:hanging="360"/>
      </w:pPr>
      <w:rPr>
        <w:rFonts w:ascii="Arial" w:hAnsi="Arial" w:hint="default"/>
      </w:rPr>
    </w:lvl>
    <w:lvl w:ilvl="1" w:tplc="2CC6232E" w:tentative="1">
      <w:start w:val="1"/>
      <w:numFmt w:val="bullet"/>
      <w:lvlText w:val="•"/>
      <w:lvlJc w:val="left"/>
      <w:pPr>
        <w:tabs>
          <w:tab w:val="num" w:pos="1440"/>
        </w:tabs>
        <w:ind w:left="1440" w:hanging="360"/>
      </w:pPr>
      <w:rPr>
        <w:rFonts w:ascii="Arial" w:hAnsi="Arial" w:hint="default"/>
      </w:rPr>
    </w:lvl>
    <w:lvl w:ilvl="2" w:tplc="1CD6A4FC">
      <w:start w:val="37"/>
      <w:numFmt w:val="bullet"/>
      <w:lvlText w:val="o"/>
      <w:lvlJc w:val="left"/>
      <w:pPr>
        <w:tabs>
          <w:tab w:val="num" w:pos="2160"/>
        </w:tabs>
        <w:ind w:left="2160" w:hanging="360"/>
      </w:pPr>
      <w:rPr>
        <w:rFonts w:ascii="Courier New" w:hAnsi="Courier New" w:hint="default"/>
      </w:rPr>
    </w:lvl>
    <w:lvl w:ilvl="3" w:tplc="D2A25112" w:tentative="1">
      <w:start w:val="1"/>
      <w:numFmt w:val="bullet"/>
      <w:lvlText w:val="•"/>
      <w:lvlJc w:val="left"/>
      <w:pPr>
        <w:tabs>
          <w:tab w:val="num" w:pos="2880"/>
        </w:tabs>
        <w:ind w:left="2880" w:hanging="360"/>
      </w:pPr>
      <w:rPr>
        <w:rFonts w:ascii="Arial" w:hAnsi="Arial" w:hint="default"/>
      </w:rPr>
    </w:lvl>
    <w:lvl w:ilvl="4" w:tplc="963E6176" w:tentative="1">
      <w:start w:val="1"/>
      <w:numFmt w:val="bullet"/>
      <w:lvlText w:val="•"/>
      <w:lvlJc w:val="left"/>
      <w:pPr>
        <w:tabs>
          <w:tab w:val="num" w:pos="3600"/>
        </w:tabs>
        <w:ind w:left="3600" w:hanging="360"/>
      </w:pPr>
      <w:rPr>
        <w:rFonts w:ascii="Arial" w:hAnsi="Arial" w:hint="default"/>
      </w:rPr>
    </w:lvl>
    <w:lvl w:ilvl="5" w:tplc="5C36DEFC" w:tentative="1">
      <w:start w:val="1"/>
      <w:numFmt w:val="bullet"/>
      <w:lvlText w:val="•"/>
      <w:lvlJc w:val="left"/>
      <w:pPr>
        <w:tabs>
          <w:tab w:val="num" w:pos="4320"/>
        </w:tabs>
        <w:ind w:left="4320" w:hanging="360"/>
      </w:pPr>
      <w:rPr>
        <w:rFonts w:ascii="Arial" w:hAnsi="Arial" w:hint="default"/>
      </w:rPr>
    </w:lvl>
    <w:lvl w:ilvl="6" w:tplc="2DE89992" w:tentative="1">
      <w:start w:val="1"/>
      <w:numFmt w:val="bullet"/>
      <w:lvlText w:val="•"/>
      <w:lvlJc w:val="left"/>
      <w:pPr>
        <w:tabs>
          <w:tab w:val="num" w:pos="5040"/>
        </w:tabs>
        <w:ind w:left="5040" w:hanging="360"/>
      </w:pPr>
      <w:rPr>
        <w:rFonts w:ascii="Arial" w:hAnsi="Arial" w:hint="default"/>
      </w:rPr>
    </w:lvl>
    <w:lvl w:ilvl="7" w:tplc="200A88A6" w:tentative="1">
      <w:start w:val="1"/>
      <w:numFmt w:val="bullet"/>
      <w:lvlText w:val="•"/>
      <w:lvlJc w:val="left"/>
      <w:pPr>
        <w:tabs>
          <w:tab w:val="num" w:pos="5760"/>
        </w:tabs>
        <w:ind w:left="5760" w:hanging="360"/>
      </w:pPr>
      <w:rPr>
        <w:rFonts w:ascii="Arial" w:hAnsi="Arial" w:hint="default"/>
      </w:rPr>
    </w:lvl>
    <w:lvl w:ilvl="8" w:tplc="C76E692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41315A6"/>
    <w:multiLevelType w:val="hybridMultilevel"/>
    <w:tmpl w:val="FF46EF18"/>
    <w:lvl w:ilvl="0" w:tplc="734830A8">
      <w:start w:val="1"/>
      <w:numFmt w:val="decimal"/>
      <w:lvlText w:val="%1"/>
      <w:lvlJc w:val="left"/>
      <w:pPr>
        <w:ind w:left="1080" w:hanging="360"/>
      </w:pPr>
      <w:rPr>
        <w:rFonts w:hAnsi="Arial Unicode MS" w:hint="default"/>
        <w:caps w:val="0"/>
        <w:smallCaps w:val="0"/>
        <w:strike w:val="0"/>
        <w:dstrike w:val="0"/>
        <w:outline w:val="0"/>
        <w:emboss w:val="0"/>
        <w:imprint w:val="0"/>
        <w:spacing w:val="0"/>
        <w:w w:val="100"/>
        <w:kern w:val="0"/>
        <w:position w:val="0"/>
        <w:vertAlign w:val="baseline"/>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0" w15:restartNumberingAfterBreak="0">
    <w:nsid w:val="2790784C"/>
    <w:multiLevelType w:val="hybridMultilevel"/>
    <w:tmpl w:val="9F8657B6"/>
    <w:lvl w:ilvl="0" w:tplc="30E4FEFC">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932195E"/>
    <w:multiLevelType w:val="hybridMultilevel"/>
    <w:tmpl w:val="A36E4A40"/>
    <w:lvl w:ilvl="0" w:tplc="776A88F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29C220B"/>
    <w:multiLevelType w:val="multilevel"/>
    <w:tmpl w:val="621E9FB6"/>
    <w:lvl w:ilvl="0">
      <w:start w:val="1"/>
      <w:numFmt w:val="none"/>
      <w:pStyle w:val="Quotation"/>
      <w:suff w:val="nothing"/>
      <w:lvlText w:val=""/>
      <w:lvlJc w:val="left"/>
      <w:pPr>
        <w:ind w:left="1418"/>
      </w:pPr>
      <w:rPr>
        <w:rFonts w:cs="Times New Roman" w:hint="default"/>
      </w:rPr>
    </w:lvl>
    <w:lvl w:ilvl="1">
      <w:start w:val="1"/>
      <w:numFmt w:val="none"/>
      <w:lvlRestart w:val="0"/>
      <w:pStyle w:val="Quotation2"/>
      <w:suff w:val="nothing"/>
      <w:lvlText w:val=""/>
      <w:lvlJc w:val="left"/>
      <w:pPr>
        <w:ind w:left="1985"/>
      </w:pPr>
      <w:rPr>
        <w:rFonts w:cs="Times New Roman" w:hint="default"/>
      </w:rPr>
    </w:lvl>
    <w:lvl w:ilvl="2">
      <w:start w:val="1"/>
      <w:numFmt w:val="none"/>
      <w:lvlRestart w:val="0"/>
      <w:pStyle w:val="Quotation3"/>
      <w:suff w:val="nothing"/>
      <w:lvlText w:val=""/>
      <w:lvlJc w:val="left"/>
      <w:pPr>
        <w:ind w:left="2552"/>
      </w:pPr>
      <w:rPr>
        <w:rFonts w:cs="Times New Roman" w:hint="default"/>
      </w:rPr>
    </w:lvl>
    <w:lvl w:ilvl="3">
      <w:start w:val="1"/>
      <w:numFmt w:val="bullet"/>
      <w:lvlText w:val=""/>
      <w:lvlJc w:val="left"/>
      <w:pPr>
        <w:tabs>
          <w:tab w:val="num" w:pos="3429"/>
        </w:tabs>
        <w:ind w:left="3429" w:hanging="360"/>
      </w:pPr>
      <w:rPr>
        <w:rFonts w:ascii="Symbol" w:hAnsi="Symbol" w:hint="default"/>
      </w:rPr>
    </w:lvl>
    <w:lvl w:ilvl="4">
      <w:start w:val="1"/>
      <w:numFmt w:val="bullet"/>
      <w:lvlText w:val=""/>
      <w:lvlJc w:val="left"/>
      <w:pPr>
        <w:tabs>
          <w:tab w:val="num" w:pos="3789"/>
        </w:tabs>
        <w:ind w:left="3789" w:hanging="360"/>
      </w:pPr>
      <w:rPr>
        <w:rFonts w:ascii="Symbol" w:hAnsi="Symbol" w:hint="default"/>
      </w:rPr>
    </w:lvl>
    <w:lvl w:ilvl="5">
      <w:start w:val="1"/>
      <w:numFmt w:val="bullet"/>
      <w:lvlText w:val=""/>
      <w:lvlJc w:val="left"/>
      <w:pPr>
        <w:tabs>
          <w:tab w:val="num" w:pos="4149"/>
        </w:tabs>
        <w:ind w:left="4149" w:hanging="360"/>
      </w:pPr>
      <w:rPr>
        <w:rFonts w:ascii="Wingdings" w:hAnsi="Wingdings" w:hint="default"/>
      </w:rPr>
    </w:lvl>
    <w:lvl w:ilvl="6">
      <w:start w:val="1"/>
      <w:numFmt w:val="bullet"/>
      <w:lvlText w:val=""/>
      <w:lvlJc w:val="left"/>
      <w:pPr>
        <w:tabs>
          <w:tab w:val="num" w:pos="4509"/>
        </w:tabs>
        <w:ind w:left="4509" w:hanging="360"/>
      </w:pPr>
      <w:rPr>
        <w:rFonts w:ascii="Wingdings" w:hAnsi="Wingdings" w:hint="default"/>
      </w:rPr>
    </w:lvl>
    <w:lvl w:ilvl="7">
      <w:start w:val="1"/>
      <w:numFmt w:val="bullet"/>
      <w:lvlText w:val=""/>
      <w:lvlJc w:val="left"/>
      <w:pPr>
        <w:tabs>
          <w:tab w:val="num" w:pos="4869"/>
        </w:tabs>
        <w:ind w:left="4869" w:hanging="360"/>
      </w:pPr>
      <w:rPr>
        <w:rFonts w:ascii="Symbol" w:hAnsi="Symbol" w:hint="default"/>
      </w:rPr>
    </w:lvl>
    <w:lvl w:ilvl="8">
      <w:start w:val="1"/>
      <w:numFmt w:val="bullet"/>
      <w:lvlText w:val=""/>
      <w:lvlJc w:val="left"/>
      <w:pPr>
        <w:tabs>
          <w:tab w:val="num" w:pos="5229"/>
        </w:tabs>
        <w:ind w:left="5229" w:hanging="360"/>
      </w:pPr>
      <w:rPr>
        <w:rFonts w:ascii="Symbol" w:hAnsi="Symbol" w:hint="default"/>
      </w:rPr>
    </w:lvl>
  </w:abstractNum>
  <w:abstractNum w:abstractNumId="13" w15:restartNumberingAfterBreak="0">
    <w:nsid w:val="49812C04"/>
    <w:multiLevelType w:val="hybridMultilevel"/>
    <w:tmpl w:val="37A03D52"/>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821BF2"/>
    <w:multiLevelType w:val="hybridMultilevel"/>
    <w:tmpl w:val="ABB49B02"/>
    <w:lvl w:ilvl="0" w:tplc="94A4CAB0">
      <w:numFmt w:val="bullet"/>
      <w:lvlText w:val=""/>
      <w:lvlJc w:val="left"/>
      <w:pPr>
        <w:ind w:left="720" w:hanging="360"/>
      </w:pPr>
      <w:rPr>
        <w:rFonts w:ascii="Symbol" w:eastAsia="Times New Roman" w:hAnsi="Symbol" w:cs="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F577D19"/>
    <w:multiLevelType w:val="hybridMultilevel"/>
    <w:tmpl w:val="1C763C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01F09FA"/>
    <w:multiLevelType w:val="hybridMultilevel"/>
    <w:tmpl w:val="D7C89854"/>
    <w:lvl w:ilvl="0" w:tplc="6F36F76C">
      <w:start w:val="1"/>
      <w:numFmt w:val="bullet"/>
      <w:lvlText w:val="•"/>
      <w:lvlJc w:val="left"/>
      <w:pPr>
        <w:tabs>
          <w:tab w:val="num" w:pos="720"/>
        </w:tabs>
        <w:ind w:left="720" w:hanging="360"/>
      </w:pPr>
      <w:rPr>
        <w:rFonts w:ascii="Arial" w:hAnsi="Arial" w:hint="default"/>
      </w:rPr>
    </w:lvl>
    <w:lvl w:ilvl="1" w:tplc="B490A5E2" w:tentative="1">
      <w:start w:val="1"/>
      <w:numFmt w:val="bullet"/>
      <w:lvlText w:val="•"/>
      <w:lvlJc w:val="left"/>
      <w:pPr>
        <w:tabs>
          <w:tab w:val="num" w:pos="1440"/>
        </w:tabs>
        <w:ind w:left="1440" w:hanging="360"/>
      </w:pPr>
      <w:rPr>
        <w:rFonts w:ascii="Arial" w:hAnsi="Arial" w:hint="default"/>
      </w:rPr>
    </w:lvl>
    <w:lvl w:ilvl="2" w:tplc="5ADACE0A">
      <w:start w:val="37"/>
      <w:numFmt w:val="bullet"/>
      <w:lvlText w:val="o"/>
      <w:lvlJc w:val="left"/>
      <w:pPr>
        <w:tabs>
          <w:tab w:val="num" w:pos="2160"/>
        </w:tabs>
        <w:ind w:left="2160" w:hanging="360"/>
      </w:pPr>
      <w:rPr>
        <w:rFonts w:ascii="Courier New" w:hAnsi="Courier New" w:hint="default"/>
      </w:rPr>
    </w:lvl>
    <w:lvl w:ilvl="3" w:tplc="CB62FEA0" w:tentative="1">
      <w:start w:val="1"/>
      <w:numFmt w:val="bullet"/>
      <w:lvlText w:val="•"/>
      <w:lvlJc w:val="left"/>
      <w:pPr>
        <w:tabs>
          <w:tab w:val="num" w:pos="2880"/>
        </w:tabs>
        <w:ind w:left="2880" w:hanging="360"/>
      </w:pPr>
      <w:rPr>
        <w:rFonts w:ascii="Arial" w:hAnsi="Arial" w:hint="default"/>
      </w:rPr>
    </w:lvl>
    <w:lvl w:ilvl="4" w:tplc="D8805EB6" w:tentative="1">
      <w:start w:val="1"/>
      <w:numFmt w:val="bullet"/>
      <w:lvlText w:val="•"/>
      <w:lvlJc w:val="left"/>
      <w:pPr>
        <w:tabs>
          <w:tab w:val="num" w:pos="3600"/>
        </w:tabs>
        <w:ind w:left="3600" w:hanging="360"/>
      </w:pPr>
      <w:rPr>
        <w:rFonts w:ascii="Arial" w:hAnsi="Arial" w:hint="default"/>
      </w:rPr>
    </w:lvl>
    <w:lvl w:ilvl="5" w:tplc="C9D6993E" w:tentative="1">
      <w:start w:val="1"/>
      <w:numFmt w:val="bullet"/>
      <w:lvlText w:val="•"/>
      <w:lvlJc w:val="left"/>
      <w:pPr>
        <w:tabs>
          <w:tab w:val="num" w:pos="4320"/>
        </w:tabs>
        <w:ind w:left="4320" w:hanging="360"/>
      </w:pPr>
      <w:rPr>
        <w:rFonts w:ascii="Arial" w:hAnsi="Arial" w:hint="default"/>
      </w:rPr>
    </w:lvl>
    <w:lvl w:ilvl="6" w:tplc="58842DAA" w:tentative="1">
      <w:start w:val="1"/>
      <w:numFmt w:val="bullet"/>
      <w:lvlText w:val="•"/>
      <w:lvlJc w:val="left"/>
      <w:pPr>
        <w:tabs>
          <w:tab w:val="num" w:pos="5040"/>
        </w:tabs>
        <w:ind w:left="5040" w:hanging="360"/>
      </w:pPr>
      <w:rPr>
        <w:rFonts w:ascii="Arial" w:hAnsi="Arial" w:hint="default"/>
      </w:rPr>
    </w:lvl>
    <w:lvl w:ilvl="7" w:tplc="39F4B52E" w:tentative="1">
      <w:start w:val="1"/>
      <w:numFmt w:val="bullet"/>
      <w:lvlText w:val="•"/>
      <w:lvlJc w:val="left"/>
      <w:pPr>
        <w:tabs>
          <w:tab w:val="num" w:pos="5760"/>
        </w:tabs>
        <w:ind w:left="5760" w:hanging="360"/>
      </w:pPr>
      <w:rPr>
        <w:rFonts w:ascii="Arial" w:hAnsi="Arial" w:hint="default"/>
      </w:rPr>
    </w:lvl>
    <w:lvl w:ilvl="8" w:tplc="35462AD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ACB5BBD"/>
    <w:multiLevelType w:val="hybridMultilevel"/>
    <w:tmpl w:val="4B1C090E"/>
    <w:lvl w:ilvl="0" w:tplc="29C60E20">
      <w:start w:val="351"/>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B807702"/>
    <w:multiLevelType w:val="hybridMultilevel"/>
    <w:tmpl w:val="B8A883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2A22AFD"/>
    <w:multiLevelType w:val="hybridMultilevel"/>
    <w:tmpl w:val="FAEA656E"/>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DC616FB"/>
    <w:multiLevelType w:val="hybridMultilevel"/>
    <w:tmpl w:val="3B28CA20"/>
    <w:lvl w:ilvl="0" w:tplc="F7B227C0">
      <w:start w:val="18"/>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E8F3591"/>
    <w:multiLevelType w:val="hybridMultilevel"/>
    <w:tmpl w:val="5E3C86F0"/>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22" w15:restartNumberingAfterBreak="0">
    <w:nsid w:val="6E9E6A3D"/>
    <w:multiLevelType w:val="hybridMultilevel"/>
    <w:tmpl w:val="0A7A6514"/>
    <w:lvl w:ilvl="0" w:tplc="94A4CAB0">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03732D7"/>
    <w:multiLevelType w:val="hybridMultilevel"/>
    <w:tmpl w:val="6B68161C"/>
    <w:lvl w:ilvl="0" w:tplc="5D561C1A">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22A1600"/>
    <w:multiLevelType w:val="hybridMultilevel"/>
    <w:tmpl w:val="503473EA"/>
    <w:lvl w:ilvl="0" w:tplc="CB54015A">
      <w:numFmt w:val="bullet"/>
      <w:lvlText w:val="-"/>
      <w:lvlJc w:val="left"/>
      <w:pPr>
        <w:ind w:left="720" w:hanging="360"/>
      </w:pPr>
      <w:rPr>
        <w:rFonts w:ascii="Calibri" w:eastAsiaTheme="minorHAns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8285A15"/>
    <w:multiLevelType w:val="hybridMultilevel"/>
    <w:tmpl w:val="32F2FA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ABA0319"/>
    <w:multiLevelType w:val="hybridMultilevel"/>
    <w:tmpl w:val="0E40ECCC"/>
    <w:lvl w:ilvl="0" w:tplc="68C0F462">
      <w:start w:val="8"/>
      <w:numFmt w:val="bullet"/>
      <w:lvlText w:val="-"/>
      <w:lvlJc w:val="left"/>
      <w:pPr>
        <w:ind w:left="720" w:hanging="360"/>
      </w:pPr>
      <w:rPr>
        <w:rFonts w:ascii="Calibri" w:eastAsiaTheme="minorHAns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6"/>
  </w:num>
  <w:num w:numId="4">
    <w:abstractNumId w:val="0"/>
  </w:num>
  <w:num w:numId="5">
    <w:abstractNumId w:val="17"/>
  </w:num>
  <w:num w:numId="6">
    <w:abstractNumId w:val="13"/>
  </w:num>
  <w:num w:numId="7">
    <w:abstractNumId w:val="2"/>
  </w:num>
  <w:num w:numId="8">
    <w:abstractNumId w:val="25"/>
  </w:num>
  <w:num w:numId="9">
    <w:abstractNumId w:val="7"/>
  </w:num>
  <w:num w:numId="10">
    <w:abstractNumId w:val="11"/>
  </w:num>
  <w:num w:numId="11">
    <w:abstractNumId w:val="24"/>
  </w:num>
  <w:num w:numId="12">
    <w:abstractNumId w:val="15"/>
  </w:num>
  <w:num w:numId="13">
    <w:abstractNumId w:val="1"/>
  </w:num>
  <w:num w:numId="14">
    <w:abstractNumId w:val="26"/>
  </w:num>
  <w:num w:numId="15">
    <w:abstractNumId w:val="9"/>
  </w:num>
  <w:num w:numId="16">
    <w:abstractNumId w:val="10"/>
  </w:num>
  <w:num w:numId="17">
    <w:abstractNumId w:val="5"/>
  </w:num>
  <w:num w:numId="18">
    <w:abstractNumId w:val="4"/>
  </w:num>
  <w:num w:numId="19">
    <w:abstractNumId w:val="3"/>
  </w:num>
  <w:num w:numId="20">
    <w:abstractNumId w:val="14"/>
  </w:num>
  <w:num w:numId="21">
    <w:abstractNumId w:val="22"/>
  </w:num>
  <w:num w:numId="22">
    <w:abstractNumId w:val="19"/>
  </w:num>
  <w:num w:numId="23">
    <w:abstractNumId w:val="21"/>
  </w:num>
  <w:num w:numId="24">
    <w:abstractNumId w:val="12"/>
  </w:num>
  <w:num w:numId="25">
    <w:abstractNumId w:val="18"/>
  </w:num>
  <w:num w:numId="26">
    <w:abstractNumId w:val="20"/>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B9C"/>
    <w:rsid w:val="0000253A"/>
    <w:rsid w:val="000037BC"/>
    <w:rsid w:val="00003BB0"/>
    <w:rsid w:val="00012DB6"/>
    <w:rsid w:val="00015424"/>
    <w:rsid w:val="00023F1E"/>
    <w:rsid w:val="000343BE"/>
    <w:rsid w:val="0004147E"/>
    <w:rsid w:val="00045EAA"/>
    <w:rsid w:val="000505C5"/>
    <w:rsid w:val="00055852"/>
    <w:rsid w:val="000573BC"/>
    <w:rsid w:val="00063314"/>
    <w:rsid w:val="00066292"/>
    <w:rsid w:val="0007023D"/>
    <w:rsid w:val="00072FAC"/>
    <w:rsid w:val="00082CC0"/>
    <w:rsid w:val="00090297"/>
    <w:rsid w:val="000971B9"/>
    <w:rsid w:val="000A01E1"/>
    <w:rsid w:val="000A22AD"/>
    <w:rsid w:val="000A3C54"/>
    <w:rsid w:val="000A4795"/>
    <w:rsid w:val="000B0356"/>
    <w:rsid w:val="000B3CFC"/>
    <w:rsid w:val="000B458B"/>
    <w:rsid w:val="000C2835"/>
    <w:rsid w:val="000C3BFF"/>
    <w:rsid w:val="000C5B7A"/>
    <w:rsid w:val="000D0909"/>
    <w:rsid w:val="000D0CF5"/>
    <w:rsid w:val="000D5390"/>
    <w:rsid w:val="000E0DE6"/>
    <w:rsid w:val="000E6B0C"/>
    <w:rsid w:val="000F4EA3"/>
    <w:rsid w:val="00107B02"/>
    <w:rsid w:val="00112490"/>
    <w:rsid w:val="001241AD"/>
    <w:rsid w:val="001247EE"/>
    <w:rsid w:val="00125AC3"/>
    <w:rsid w:val="00144497"/>
    <w:rsid w:val="001500C1"/>
    <w:rsid w:val="00160BBB"/>
    <w:rsid w:val="00164B12"/>
    <w:rsid w:val="001658F1"/>
    <w:rsid w:val="00166B06"/>
    <w:rsid w:val="0017434F"/>
    <w:rsid w:val="001750EB"/>
    <w:rsid w:val="0017769E"/>
    <w:rsid w:val="001826EE"/>
    <w:rsid w:val="00184F1C"/>
    <w:rsid w:val="00185C55"/>
    <w:rsid w:val="00194E3B"/>
    <w:rsid w:val="00197384"/>
    <w:rsid w:val="001B6F9A"/>
    <w:rsid w:val="001C6C47"/>
    <w:rsid w:val="001D2723"/>
    <w:rsid w:val="001D564E"/>
    <w:rsid w:val="001D5B8A"/>
    <w:rsid w:val="001E2D23"/>
    <w:rsid w:val="001E49EF"/>
    <w:rsid w:val="001E4FBA"/>
    <w:rsid w:val="001F238C"/>
    <w:rsid w:val="001F5C03"/>
    <w:rsid w:val="002046F3"/>
    <w:rsid w:val="00207E2F"/>
    <w:rsid w:val="00210587"/>
    <w:rsid w:val="00215FA0"/>
    <w:rsid w:val="00235A22"/>
    <w:rsid w:val="00243B2F"/>
    <w:rsid w:val="00253015"/>
    <w:rsid w:val="0025387C"/>
    <w:rsid w:val="00253A53"/>
    <w:rsid w:val="00253ECF"/>
    <w:rsid w:val="002544ED"/>
    <w:rsid w:val="0026539D"/>
    <w:rsid w:val="002726F5"/>
    <w:rsid w:val="00280DF8"/>
    <w:rsid w:val="002832EB"/>
    <w:rsid w:val="00284501"/>
    <w:rsid w:val="0028721D"/>
    <w:rsid w:val="002942B1"/>
    <w:rsid w:val="002961A6"/>
    <w:rsid w:val="002A2798"/>
    <w:rsid w:val="002A6A9D"/>
    <w:rsid w:val="002B305C"/>
    <w:rsid w:val="002B5ABC"/>
    <w:rsid w:val="002C5145"/>
    <w:rsid w:val="002C555F"/>
    <w:rsid w:val="002D45ED"/>
    <w:rsid w:val="002E33BC"/>
    <w:rsid w:val="002F003F"/>
    <w:rsid w:val="002F62AD"/>
    <w:rsid w:val="0030576F"/>
    <w:rsid w:val="00311168"/>
    <w:rsid w:val="0034390E"/>
    <w:rsid w:val="003714F5"/>
    <w:rsid w:val="00371F3D"/>
    <w:rsid w:val="00373F4F"/>
    <w:rsid w:val="00374F9B"/>
    <w:rsid w:val="00375C49"/>
    <w:rsid w:val="00390216"/>
    <w:rsid w:val="003960EF"/>
    <w:rsid w:val="003A0ADD"/>
    <w:rsid w:val="003A3C85"/>
    <w:rsid w:val="003A7120"/>
    <w:rsid w:val="003C1A12"/>
    <w:rsid w:val="003C2A68"/>
    <w:rsid w:val="003C705E"/>
    <w:rsid w:val="003D3531"/>
    <w:rsid w:val="003D38D6"/>
    <w:rsid w:val="003D43BD"/>
    <w:rsid w:val="003E2F78"/>
    <w:rsid w:val="003E3FB3"/>
    <w:rsid w:val="0040239C"/>
    <w:rsid w:val="00406FD3"/>
    <w:rsid w:val="00415E98"/>
    <w:rsid w:val="00417376"/>
    <w:rsid w:val="0041765F"/>
    <w:rsid w:val="00421E1E"/>
    <w:rsid w:val="00432A9C"/>
    <w:rsid w:val="00436360"/>
    <w:rsid w:val="0044139D"/>
    <w:rsid w:val="00453EC0"/>
    <w:rsid w:val="004559EF"/>
    <w:rsid w:val="00457D51"/>
    <w:rsid w:val="00462A89"/>
    <w:rsid w:val="0048427B"/>
    <w:rsid w:val="00485A08"/>
    <w:rsid w:val="004963FB"/>
    <w:rsid w:val="00497351"/>
    <w:rsid w:val="004A4A9F"/>
    <w:rsid w:val="004A5BB0"/>
    <w:rsid w:val="004A7E9D"/>
    <w:rsid w:val="004B03FB"/>
    <w:rsid w:val="004B06DE"/>
    <w:rsid w:val="004B18F1"/>
    <w:rsid w:val="004B1EA2"/>
    <w:rsid w:val="004B5A43"/>
    <w:rsid w:val="004D22A3"/>
    <w:rsid w:val="004E6BF7"/>
    <w:rsid w:val="004E78B2"/>
    <w:rsid w:val="004F3D11"/>
    <w:rsid w:val="004F6737"/>
    <w:rsid w:val="00507D2F"/>
    <w:rsid w:val="005170D9"/>
    <w:rsid w:val="005219E4"/>
    <w:rsid w:val="00525C14"/>
    <w:rsid w:val="00526B9C"/>
    <w:rsid w:val="00527D86"/>
    <w:rsid w:val="00527D9D"/>
    <w:rsid w:val="00530B20"/>
    <w:rsid w:val="005336A7"/>
    <w:rsid w:val="00543F23"/>
    <w:rsid w:val="00571168"/>
    <w:rsid w:val="00572A78"/>
    <w:rsid w:val="005A14EC"/>
    <w:rsid w:val="005A311F"/>
    <w:rsid w:val="005A740B"/>
    <w:rsid w:val="005B48F2"/>
    <w:rsid w:val="005B5A5C"/>
    <w:rsid w:val="005B623D"/>
    <w:rsid w:val="005B698E"/>
    <w:rsid w:val="005B712A"/>
    <w:rsid w:val="005C6409"/>
    <w:rsid w:val="005D1CDA"/>
    <w:rsid w:val="005D2703"/>
    <w:rsid w:val="005D465C"/>
    <w:rsid w:val="005E099E"/>
    <w:rsid w:val="005E1827"/>
    <w:rsid w:val="005E3954"/>
    <w:rsid w:val="005E4005"/>
    <w:rsid w:val="005F4211"/>
    <w:rsid w:val="00600B4A"/>
    <w:rsid w:val="00610DDC"/>
    <w:rsid w:val="0061380F"/>
    <w:rsid w:val="006207AC"/>
    <w:rsid w:val="00646FF9"/>
    <w:rsid w:val="00650EBA"/>
    <w:rsid w:val="00654EA6"/>
    <w:rsid w:val="00656296"/>
    <w:rsid w:val="0066110F"/>
    <w:rsid w:val="006740C0"/>
    <w:rsid w:val="00683FD4"/>
    <w:rsid w:val="0068689A"/>
    <w:rsid w:val="006B4F7E"/>
    <w:rsid w:val="006B60D6"/>
    <w:rsid w:val="006B6540"/>
    <w:rsid w:val="006C2D01"/>
    <w:rsid w:val="006C5B2F"/>
    <w:rsid w:val="006C5BFF"/>
    <w:rsid w:val="006C7198"/>
    <w:rsid w:val="006E3AC7"/>
    <w:rsid w:val="006E6B45"/>
    <w:rsid w:val="006E7E7C"/>
    <w:rsid w:val="006F05D3"/>
    <w:rsid w:val="006F1D38"/>
    <w:rsid w:val="006F751E"/>
    <w:rsid w:val="006F771F"/>
    <w:rsid w:val="007032A8"/>
    <w:rsid w:val="00703B6E"/>
    <w:rsid w:val="007153FE"/>
    <w:rsid w:val="007224D2"/>
    <w:rsid w:val="007370E9"/>
    <w:rsid w:val="00743A90"/>
    <w:rsid w:val="00746641"/>
    <w:rsid w:val="007540E3"/>
    <w:rsid w:val="00755D4A"/>
    <w:rsid w:val="00757477"/>
    <w:rsid w:val="00757918"/>
    <w:rsid w:val="00763461"/>
    <w:rsid w:val="007656CA"/>
    <w:rsid w:val="00767B66"/>
    <w:rsid w:val="00772D9D"/>
    <w:rsid w:val="007754A7"/>
    <w:rsid w:val="007768B0"/>
    <w:rsid w:val="00780624"/>
    <w:rsid w:val="007832CF"/>
    <w:rsid w:val="007866B6"/>
    <w:rsid w:val="007A01F7"/>
    <w:rsid w:val="007A04E1"/>
    <w:rsid w:val="007A4C11"/>
    <w:rsid w:val="007A511F"/>
    <w:rsid w:val="007B0050"/>
    <w:rsid w:val="007B2057"/>
    <w:rsid w:val="007B3561"/>
    <w:rsid w:val="007C47C0"/>
    <w:rsid w:val="007D5573"/>
    <w:rsid w:val="007F48DE"/>
    <w:rsid w:val="008063D5"/>
    <w:rsid w:val="00811CD3"/>
    <w:rsid w:val="00815578"/>
    <w:rsid w:val="00822EF3"/>
    <w:rsid w:val="00827BDE"/>
    <w:rsid w:val="008409BF"/>
    <w:rsid w:val="00847394"/>
    <w:rsid w:val="00851657"/>
    <w:rsid w:val="00860BCA"/>
    <w:rsid w:val="00864A29"/>
    <w:rsid w:val="00873281"/>
    <w:rsid w:val="00874576"/>
    <w:rsid w:val="00875019"/>
    <w:rsid w:val="00875C57"/>
    <w:rsid w:val="008828C3"/>
    <w:rsid w:val="008834F3"/>
    <w:rsid w:val="008A23F7"/>
    <w:rsid w:val="008A5A6D"/>
    <w:rsid w:val="008B4243"/>
    <w:rsid w:val="008B5A19"/>
    <w:rsid w:val="008C3652"/>
    <w:rsid w:val="008D1760"/>
    <w:rsid w:val="008D75DB"/>
    <w:rsid w:val="008E087D"/>
    <w:rsid w:val="008E14BB"/>
    <w:rsid w:val="008E56C9"/>
    <w:rsid w:val="008F1228"/>
    <w:rsid w:val="00900683"/>
    <w:rsid w:val="00921E62"/>
    <w:rsid w:val="00926257"/>
    <w:rsid w:val="009278F7"/>
    <w:rsid w:val="009360EA"/>
    <w:rsid w:val="00941D9D"/>
    <w:rsid w:val="009523AA"/>
    <w:rsid w:val="00952E87"/>
    <w:rsid w:val="0095615D"/>
    <w:rsid w:val="009749E6"/>
    <w:rsid w:val="009757F1"/>
    <w:rsid w:val="0098310D"/>
    <w:rsid w:val="0098768E"/>
    <w:rsid w:val="00990238"/>
    <w:rsid w:val="00990F46"/>
    <w:rsid w:val="009928B3"/>
    <w:rsid w:val="009A3A48"/>
    <w:rsid w:val="009A6B8B"/>
    <w:rsid w:val="009B24E5"/>
    <w:rsid w:val="009D2E93"/>
    <w:rsid w:val="009E0BE1"/>
    <w:rsid w:val="009E0F5C"/>
    <w:rsid w:val="009E74D1"/>
    <w:rsid w:val="009F06BD"/>
    <w:rsid w:val="009F3C0D"/>
    <w:rsid w:val="00A06635"/>
    <w:rsid w:val="00A07D87"/>
    <w:rsid w:val="00A110C8"/>
    <w:rsid w:val="00A12481"/>
    <w:rsid w:val="00A132DA"/>
    <w:rsid w:val="00A242A9"/>
    <w:rsid w:val="00A31C3F"/>
    <w:rsid w:val="00A45FE8"/>
    <w:rsid w:val="00A47195"/>
    <w:rsid w:val="00A50A11"/>
    <w:rsid w:val="00A51DB7"/>
    <w:rsid w:val="00A66FB1"/>
    <w:rsid w:val="00A72487"/>
    <w:rsid w:val="00A83C98"/>
    <w:rsid w:val="00A851FD"/>
    <w:rsid w:val="00A85BE0"/>
    <w:rsid w:val="00A87166"/>
    <w:rsid w:val="00A97474"/>
    <w:rsid w:val="00A9755C"/>
    <w:rsid w:val="00A97DA1"/>
    <w:rsid w:val="00AA0D99"/>
    <w:rsid w:val="00AB2F8E"/>
    <w:rsid w:val="00AC2B24"/>
    <w:rsid w:val="00AC549A"/>
    <w:rsid w:val="00AC6F0F"/>
    <w:rsid w:val="00AE1A99"/>
    <w:rsid w:val="00AE1BF8"/>
    <w:rsid w:val="00AE1F05"/>
    <w:rsid w:val="00AE3371"/>
    <w:rsid w:val="00AE6ADD"/>
    <w:rsid w:val="00AE7748"/>
    <w:rsid w:val="00AF042B"/>
    <w:rsid w:val="00B12C53"/>
    <w:rsid w:val="00B2309B"/>
    <w:rsid w:val="00B23D51"/>
    <w:rsid w:val="00B2659C"/>
    <w:rsid w:val="00B30FDE"/>
    <w:rsid w:val="00B40EE8"/>
    <w:rsid w:val="00B625B2"/>
    <w:rsid w:val="00B63049"/>
    <w:rsid w:val="00B8181A"/>
    <w:rsid w:val="00B918E1"/>
    <w:rsid w:val="00B91D47"/>
    <w:rsid w:val="00BA005D"/>
    <w:rsid w:val="00BA23AC"/>
    <w:rsid w:val="00BA3142"/>
    <w:rsid w:val="00BA3362"/>
    <w:rsid w:val="00BB57A4"/>
    <w:rsid w:val="00BB58AC"/>
    <w:rsid w:val="00BC2B25"/>
    <w:rsid w:val="00BD3DAD"/>
    <w:rsid w:val="00BD685B"/>
    <w:rsid w:val="00BE060E"/>
    <w:rsid w:val="00BE2C76"/>
    <w:rsid w:val="00BF74E4"/>
    <w:rsid w:val="00BF7EF7"/>
    <w:rsid w:val="00C000A8"/>
    <w:rsid w:val="00C0325C"/>
    <w:rsid w:val="00C1456C"/>
    <w:rsid w:val="00C1598F"/>
    <w:rsid w:val="00C15D76"/>
    <w:rsid w:val="00C23EB7"/>
    <w:rsid w:val="00C25454"/>
    <w:rsid w:val="00C300E2"/>
    <w:rsid w:val="00C304BB"/>
    <w:rsid w:val="00C37DBB"/>
    <w:rsid w:val="00C538EF"/>
    <w:rsid w:val="00C61AED"/>
    <w:rsid w:val="00C76C14"/>
    <w:rsid w:val="00C77AB4"/>
    <w:rsid w:val="00C87468"/>
    <w:rsid w:val="00C9087C"/>
    <w:rsid w:val="00C93FBE"/>
    <w:rsid w:val="00C97EBC"/>
    <w:rsid w:val="00CA1CC8"/>
    <w:rsid w:val="00CA4796"/>
    <w:rsid w:val="00CA689E"/>
    <w:rsid w:val="00CC2B6B"/>
    <w:rsid w:val="00CD5C22"/>
    <w:rsid w:val="00CE00C7"/>
    <w:rsid w:val="00CE1E9C"/>
    <w:rsid w:val="00CF0D2C"/>
    <w:rsid w:val="00CF1F9D"/>
    <w:rsid w:val="00CF476E"/>
    <w:rsid w:val="00CF4D73"/>
    <w:rsid w:val="00D265D2"/>
    <w:rsid w:val="00D26ACD"/>
    <w:rsid w:val="00D41351"/>
    <w:rsid w:val="00D4374D"/>
    <w:rsid w:val="00D4447A"/>
    <w:rsid w:val="00D545F1"/>
    <w:rsid w:val="00D55195"/>
    <w:rsid w:val="00D569F2"/>
    <w:rsid w:val="00D61BD5"/>
    <w:rsid w:val="00D66632"/>
    <w:rsid w:val="00D70D1B"/>
    <w:rsid w:val="00D720F4"/>
    <w:rsid w:val="00D745F6"/>
    <w:rsid w:val="00D840C1"/>
    <w:rsid w:val="00D86868"/>
    <w:rsid w:val="00DB1E58"/>
    <w:rsid w:val="00DC13ED"/>
    <w:rsid w:val="00DD1F5F"/>
    <w:rsid w:val="00DD5C74"/>
    <w:rsid w:val="00DE362C"/>
    <w:rsid w:val="00DE459A"/>
    <w:rsid w:val="00DE6286"/>
    <w:rsid w:val="00DF02D9"/>
    <w:rsid w:val="00DF2A51"/>
    <w:rsid w:val="00DF382F"/>
    <w:rsid w:val="00E17B9C"/>
    <w:rsid w:val="00E20E69"/>
    <w:rsid w:val="00E221CE"/>
    <w:rsid w:val="00E307E4"/>
    <w:rsid w:val="00E40649"/>
    <w:rsid w:val="00E51A88"/>
    <w:rsid w:val="00E5276A"/>
    <w:rsid w:val="00E61607"/>
    <w:rsid w:val="00E70032"/>
    <w:rsid w:val="00E771FD"/>
    <w:rsid w:val="00E81786"/>
    <w:rsid w:val="00E82413"/>
    <w:rsid w:val="00E910C6"/>
    <w:rsid w:val="00E92E4C"/>
    <w:rsid w:val="00E956F9"/>
    <w:rsid w:val="00E95A4F"/>
    <w:rsid w:val="00EA655F"/>
    <w:rsid w:val="00EA6E2D"/>
    <w:rsid w:val="00EB6E69"/>
    <w:rsid w:val="00EC3741"/>
    <w:rsid w:val="00ED0DF8"/>
    <w:rsid w:val="00ED2BE8"/>
    <w:rsid w:val="00EF42C7"/>
    <w:rsid w:val="00EF6E95"/>
    <w:rsid w:val="00F02D47"/>
    <w:rsid w:val="00F1058A"/>
    <w:rsid w:val="00F1341B"/>
    <w:rsid w:val="00F13FC4"/>
    <w:rsid w:val="00F236C9"/>
    <w:rsid w:val="00F24A51"/>
    <w:rsid w:val="00F25752"/>
    <w:rsid w:val="00F25A64"/>
    <w:rsid w:val="00F26107"/>
    <w:rsid w:val="00F2721D"/>
    <w:rsid w:val="00F33B7A"/>
    <w:rsid w:val="00F7077C"/>
    <w:rsid w:val="00F723A1"/>
    <w:rsid w:val="00F7579B"/>
    <w:rsid w:val="00F971EA"/>
    <w:rsid w:val="00FA016C"/>
    <w:rsid w:val="00FA214C"/>
    <w:rsid w:val="00FA4CB4"/>
    <w:rsid w:val="00FB1116"/>
    <w:rsid w:val="00FB23FA"/>
    <w:rsid w:val="00FB4B2C"/>
    <w:rsid w:val="00FB7976"/>
    <w:rsid w:val="00FC1616"/>
    <w:rsid w:val="00FC2F7D"/>
    <w:rsid w:val="00FD1ED7"/>
    <w:rsid w:val="00FD69AD"/>
    <w:rsid w:val="00FE0BDF"/>
    <w:rsid w:val="00FF4B7C"/>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2697F"/>
  <w15:chartTrackingRefBased/>
  <w15:docId w15:val="{6B75FB29-5994-46E2-9B5B-9C7F6AEEC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FootnoteText">
    <w:name w:val="footnote text"/>
    <w:aliases w:val="FN,LJ Footnote Text,Footnote Text Char1 Char,Footnote Text Char Char Char,Footnote Text Char1 Char Char Char,Footnote Text Char Char Char Char Char,Footnote Text Char2 Char Char Char Char Char,Footnote Text Char1,Footnote Text Char Char"/>
    <w:basedOn w:val="Normal"/>
    <w:link w:val="FootnoteTextChar"/>
    <w:uiPriority w:val="99"/>
    <w:unhideWhenUsed/>
    <w:pPr>
      <w:spacing w:after="0" w:line="240" w:lineRule="auto"/>
    </w:pPr>
    <w:rPr>
      <w:sz w:val="20"/>
      <w:szCs w:val="20"/>
    </w:rPr>
  </w:style>
  <w:style w:type="character" w:customStyle="1" w:styleId="FootnoteTextChar">
    <w:name w:val="Footnote Text Char"/>
    <w:aliases w:val="FN Char,LJ Footnote Text Char,Footnote Text Char1 Char Char,Footnote Text Char Char Char Char,Footnote Text Char1 Char Char Char Char,Footnote Text Char Char Char Char Char Char,Footnote Text Char2 Char Char Char Char Char Char"/>
    <w:basedOn w:val="DefaultParagraphFont"/>
    <w:link w:val="FootnoteText"/>
    <w:uiPriority w:val="99"/>
    <w:rPr>
      <w:sz w:val="20"/>
      <w:szCs w:val="20"/>
    </w:rPr>
  </w:style>
  <w:style w:type="character" w:styleId="FootnoteReference">
    <w:name w:val="footnote reference"/>
    <w:basedOn w:val="DefaultParagraphFont"/>
    <w:unhideWhenUsed/>
    <w:rPr>
      <w:vertAlign w:val="superscript"/>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99"/>
    <w:qFormat/>
    <w:pPr>
      <w:autoSpaceDE w:val="0"/>
      <w:autoSpaceDN w:val="0"/>
      <w:adjustRightInd w:val="0"/>
      <w:spacing w:after="0" w:line="240" w:lineRule="auto"/>
      <w:ind w:left="40"/>
    </w:pPr>
    <w:rPr>
      <w:rFonts w:ascii="Times New Roman" w:hAnsi="Times New Roman" w:cs="Times New Roman"/>
      <w:i/>
      <w:iCs/>
      <w:sz w:val="20"/>
      <w:szCs w:val="20"/>
    </w:rPr>
  </w:style>
  <w:style w:type="character" w:customStyle="1" w:styleId="BodyTextChar">
    <w:name w:val="Body Text Char"/>
    <w:basedOn w:val="DefaultParagraphFont"/>
    <w:link w:val="BodyText"/>
    <w:uiPriority w:val="1"/>
    <w:rPr>
      <w:rFonts w:ascii="Times New Roman" w:hAnsi="Times New Roman" w:cs="Times New Roman"/>
      <w:i/>
      <w:iCs/>
      <w:sz w:val="20"/>
      <w:szCs w:val="20"/>
    </w:rPr>
  </w:style>
  <w:style w:type="character" w:styleId="Hyperlink">
    <w:name w:val="Hyperlink"/>
    <w:basedOn w:val="DefaultParagraphFont"/>
    <w:uiPriority w:val="99"/>
    <w:unhideWhenUsed/>
    <w:rPr>
      <w:color w:val="0000FF"/>
      <w:u w:val="single"/>
    </w:rPr>
  </w:style>
  <w:style w:type="paragraph" w:customStyle="1" w:styleId="Name">
    <w:name w:val="Name"/>
    <w:aliases w:val="number"/>
    <w:basedOn w:val="Normal"/>
    <w:pPr>
      <w:spacing w:after="0" w:line="240" w:lineRule="auto"/>
    </w:pPr>
    <w:rPr>
      <w:rFonts w:ascii="Times New Roman" w:eastAsiaTheme="minorEastAsia" w:hAnsi="Times New Roman" w:cs="Times New Roman"/>
      <w:i/>
      <w:iCs/>
      <w:kern w:val="26"/>
      <w:sz w:val="26"/>
      <w:szCs w:val="26"/>
      <w:lang w:eastAsia="zh-CN"/>
    </w:rPr>
  </w:style>
  <w:style w:type="paragraph" w:styleId="BodyText2">
    <w:name w:val="Body Text 2"/>
    <w:basedOn w:val="Normal"/>
    <w:link w:val="BodyText2Char"/>
    <w:uiPriority w:val="99"/>
    <w:unhideWhenUsed/>
    <w:qFormat/>
    <w:pPr>
      <w:spacing w:after="120" w:line="480" w:lineRule="auto"/>
    </w:pPr>
  </w:style>
  <w:style w:type="character" w:customStyle="1" w:styleId="BodyText2Char">
    <w:name w:val="Body Text 2 Char"/>
    <w:basedOn w:val="DefaultParagraphFont"/>
    <w:link w:val="BodyText2"/>
    <w:uiPriority w:val="99"/>
  </w:style>
  <w:style w:type="paragraph" w:customStyle="1" w:styleId="paragraph">
    <w:name w:val="paragraph"/>
    <w:aliases w:val="a"/>
    <w:basedOn w:val="Normal"/>
    <w:link w:val="paragraphChar"/>
    <w:pPr>
      <w:tabs>
        <w:tab w:val="right" w:pos="1531"/>
      </w:tabs>
      <w:spacing w:before="40" w:after="0" w:line="240" w:lineRule="auto"/>
      <w:ind w:left="1644" w:hanging="1644"/>
    </w:pPr>
    <w:rPr>
      <w:rFonts w:ascii="Times New Roman" w:eastAsia="Times New Roman" w:hAnsi="Times New Roman" w:cs="Times New Roman"/>
      <w:szCs w:val="20"/>
      <w:lang w:eastAsia="en-AU"/>
    </w:rPr>
  </w:style>
  <w:style w:type="paragraph" w:customStyle="1" w:styleId="subsection">
    <w:name w:val="subsection"/>
    <w:aliases w:val="ss"/>
    <w:basedOn w:val="Normal"/>
    <w:link w:val="subsectionChar"/>
    <w:pPr>
      <w:tabs>
        <w:tab w:val="right" w:pos="1021"/>
      </w:tabs>
      <w:spacing w:before="180" w:after="0" w:line="240" w:lineRule="auto"/>
      <w:ind w:left="1134" w:hanging="1134"/>
    </w:pPr>
    <w:rPr>
      <w:rFonts w:ascii="Times New Roman" w:eastAsia="Times New Roman" w:hAnsi="Times New Roman" w:cs="Times New Roman"/>
      <w:szCs w:val="20"/>
      <w:lang w:eastAsia="en-AU"/>
    </w:rPr>
  </w:style>
  <w:style w:type="paragraph" w:customStyle="1" w:styleId="subsection2">
    <w:name w:val="subsection2"/>
    <w:aliases w:val="ss2"/>
    <w:basedOn w:val="Normal"/>
    <w:next w:val="subsection"/>
    <w:link w:val="subsection2Char"/>
    <w:pPr>
      <w:spacing w:before="40" w:after="0" w:line="240" w:lineRule="auto"/>
      <w:ind w:left="1134"/>
    </w:pPr>
    <w:rPr>
      <w:rFonts w:ascii="Times New Roman" w:eastAsia="Times New Roman" w:hAnsi="Times New Roman" w:cs="Times New Roman"/>
      <w:szCs w:val="20"/>
      <w:lang w:eastAsia="en-AU"/>
    </w:rPr>
  </w:style>
  <w:style w:type="character" w:customStyle="1" w:styleId="subsectionChar">
    <w:name w:val="subsection Char"/>
    <w:aliases w:val="ss Char"/>
    <w:basedOn w:val="DefaultParagraphFont"/>
    <w:link w:val="subsection"/>
    <w:rPr>
      <w:rFonts w:ascii="Times New Roman" w:eastAsia="Times New Roman" w:hAnsi="Times New Roman" w:cs="Times New Roman"/>
      <w:szCs w:val="20"/>
      <w:lang w:eastAsia="en-AU"/>
    </w:rPr>
  </w:style>
  <w:style w:type="character" w:customStyle="1" w:styleId="paragraphChar">
    <w:name w:val="paragraph Char"/>
    <w:aliases w:val="a Char"/>
    <w:basedOn w:val="DefaultParagraphFont"/>
    <w:link w:val="paragraph"/>
    <w:rPr>
      <w:rFonts w:ascii="Times New Roman" w:eastAsia="Times New Roman" w:hAnsi="Times New Roman" w:cs="Times New Roman"/>
      <w:szCs w:val="20"/>
      <w:lang w:eastAsia="en-AU"/>
    </w:rPr>
  </w:style>
  <w:style w:type="character" w:customStyle="1" w:styleId="subsection2Char">
    <w:name w:val="subsection2 Char"/>
    <w:aliases w:val="ss2 Char"/>
    <w:basedOn w:val="DefaultParagraphFont"/>
    <w:link w:val="subsection2"/>
    <w:rPr>
      <w:rFonts w:ascii="Times New Roman" w:eastAsia="Times New Roman" w:hAnsi="Times New Roman" w:cs="Times New Roman"/>
      <w:szCs w:val="20"/>
      <w:lang w:eastAsia="en-AU"/>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MediaNeutralStyle">
    <w:name w:val="Media Neutral Style"/>
    <w:basedOn w:val="Normal"/>
    <w:next w:val="Normal"/>
    <w:semiHidden/>
    <w:pPr>
      <w:spacing w:before="20" w:after="20" w:line="256" w:lineRule="auto"/>
      <w:jc w:val="center"/>
    </w:pPr>
    <w:rPr>
      <w:b/>
      <w:sz w:val="26"/>
    </w:rPr>
  </w:style>
  <w:style w:type="paragraph" w:styleId="BodyText3">
    <w:name w:val="Body Text 3"/>
    <w:basedOn w:val="BodyText"/>
    <w:link w:val="BodyText3Char"/>
    <w:uiPriority w:val="99"/>
    <w:pPr>
      <w:tabs>
        <w:tab w:val="left" w:pos="1985"/>
        <w:tab w:val="num" w:pos="2138"/>
      </w:tabs>
      <w:autoSpaceDE/>
      <w:autoSpaceDN/>
      <w:adjustRightInd/>
      <w:spacing w:after="240" w:line="360" w:lineRule="exact"/>
      <w:ind w:left="1985" w:hanging="567"/>
      <w:jc w:val="both"/>
    </w:pPr>
    <w:rPr>
      <w:rFonts w:eastAsiaTheme="minorEastAsia"/>
      <w:i w:val="0"/>
      <w:iCs w:val="0"/>
      <w:kern w:val="26"/>
      <w:sz w:val="26"/>
      <w:szCs w:val="26"/>
      <w:lang w:eastAsia="zh-CN"/>
    </w:rPr>
  </w:style>
  <w:style w:type="character" w:customStyle="1" w:styleId="BodyText3Char">
    <w:name w:val="Body Text 3 Char"/>
    <w:basedOn w:val="DefaultParagraphFont"/>
    <w:link w:val="BodyText3"/>
    <w:uiPriority w:val="99"/>
    <w:rPr>
      <w:rFonts w:ascii="Times New Roman" w:eastAsiaTheme="minorEastAsia" w:hAnsi="Times New Roman" w:cs="Times New Roman"/>
      <w:kern w:val="26"/>
      <w:sz w:val="26"/>
      <w:szCs w:val="26"/>
      <w:lang w:eastAsia="zh-CN"/>
    </w:rPr>
  </w:style>
  <w:style w:type="character" w:customStyle="1" w:styleId="tightinline1">
    <w:name w:val="tightinline1"/>
    <w:basedOn w:val="DefaultParagraphFont"/>
  </w:style>
  <w:style w:type="character" w:customStyle="1" w:styleId="italic1">
    <w:name w:val="italic1"/>
    <w:basedOn w:val="DefaultParagraphFont"/>
    <w:rPr>
      <w:i/>
      <w:iCs/>
    </w:rPr>
  </w:style>
  <w:style w:type="paragraph" w:customStyle="1" w:styleId="Quotation">
    <w:name w:val="Quotation"/>
    <w:basedOn w:val="Normal"/>
    <w:next w:val="BodyText"/>
    <w:pPr>
      <w:numPr>
        <w:numId w:val="24"/>
      </w:numPr>
      <w:spacing w:after="240" w:line="300" w:lineRule="exact"/>
      <w:jc w:val="both"/>
    </w:pPr>
    <w:rPr>
      <w:rFonts w:ascii="Times New Roman" w:eastAsiaTheme="minorEastAsia" w:hAnsi="Times New Roman" w:cs="Times New Roman"/>
      <w:i/>
      <w:iCs/>
      <w:kern w:val="26"/>
      <w:sz w:val="26"/>
      <w:szCs w:val="26"/>
      <w:lang w:eastAsia="zh-CN"/>
    </w:rPr>
  </w:style>
  <w:style w:type="paragraph" w:customStyle="1" w:styleId="Quotation2">
    <w:name w:val="Quotation2"/>
    <w:basedOn w:val="Quotation"/>
    <w:next w:val="Quotation"/>
    <w:pPr>
      <w:numPr>
        <w:ilvl w:val="1"/>
      </w:numPr>
    </w:pPr>
  </w:style>
  <w:style w:type="paragraph" w:customStyle="1" w:styleId="Quotation3">
    <w:name w:val="Quotation3"/>
    <w:basedOn w:val="Quotation2"/>
    <w:next w:val="Quotation2"/>
    <w:pPr>
      <w:numPr>
        <w:ilvl w:val="2"/>
      </w:numPr>
    </w:pPr>
  </w:style>
  <w:style w:type="character" w:customStyle="1" w:styleId="CharSectno">
    <w:name w:val="CharSectno"/>
    <w:basedOn w:val="DefaultParagraphFont"/>
    <w:qFormat/>
  </w:style>
  <w:style w:type="paragraph" w:customStyle="1" w:styleId="ActHead5">
    <w:name w:val="ActHead 5"/>
    <w:aliases w:val="s"/>
    <w:basedOn w:val="Normal"/>
    <w:next w:val="subsection"/>
    <w:link w:val="ActHead5Char"/>
    <w:qFormat/>
    <w:pPr>
      <w:keepNext/>
      <w:keepLines/>
      <w:spacing w:before="280" w:after="0" w:line="240" w:lineRule="auto"/>
      <w:ind w:left="1134" w:hanging="1134"/>
      <w:outlineLvl w:val="4"/>
    </w:pPr>
    <w:rPr>
      <w:rFonts w:ascii="Times New Roman" w:eastAsia="Times New Roman" w:hAnsi="Times New Roman" w:cs="Times New Roman"/>
      <w:b/>
      <w:kern w:val="28"/>
      <w:sz w:val="24"/>
      <w:szCs w:val="20"/>
      <w:lang w:eastAsia="en-AU"/>
    </w:rPr>
  </w:style>
  <w:style w:type="character" w:customStyle="1" w:styleId="ActHead5Char">
    <w:name w:val="ActHead 5 Char"/>
    <w:aliases w:val="s Char"/>
    <w:link w:val="ActHead5"/>
    <w:rPr>
      <w:rFonts w:ascii="Times New Roman" w:eastAsia="Times New Roman" w:hAnsi="Times New Roman" w:cs="Times New Roman"/>
      <w:b/>
      <w:kern w:val="28"/>
      <w:sz w:val="24"/>
      <w:szCs w:val="20"/>
      <w:lang w:eastAsia="en-AU"/>
    </w:rPr>
  </w:style>
  <w:style w:type="character" w:styleId="Emphasis">
    <w:name w:val="Emphasis"/>
    <w:basedOn w:val="DefaultParagraphFont"/>
    <w:uiPriority w:val="20"/>
    <w:qFormat/>
    <w:rPr>
      <w:i/>
      <w:iCs/>
    </w:rPr>
  </w:style>
  <w:style w:type="character" w:styleId="UnresolvedMention">
    <w:name w:val="Unresolved Mention"/>
    <w:basedOn w:val="DefaultParagraphFont"/>
    <w:uiPriority w:val="99"/>
    <w:semiHidden/>
    <w:unhideWhenUsed/>
    <w:rsid w:val="00C23E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32876">
      <w:bodyDiv w:val="1"/>
      <w:marLeft w:val="0"/>
      <w:marRight w:val="0"/>
      <w:marTop w:val="0"/>
      <w:marBottom w:val="0"/>
      <w:divBdr>
        <w:top w:val="none" w:sz="0" w:space="0" w:color="auto"/>
        <w:left w:val="none" w:sz="0" w:space="0" w:color="auto"/>
        <w:bottom w:val="none" w:sz="0" w:space="0" w:color="auto"/>
        <w:right w:val="none" w:sz="0" w:space="0" w:color="auto"/>
      </w:divBdr>
    </w:div>
    <w:div w:id="43264372">
      <w:bodyDiv w:val="1"/>
      <w:marLeft w:val="0"/>
      <w:marRight w:val="0"/>
      <w:marTop w:val="0"/>
      <w:marBottom w:val="0"/>
      <w:divBdr>
        <w:top w:val="none" w:sz="0" w:space="0" w:color="auto"/>
        <w:left w:val="none" w:sz="0" w:space="0" w:color="auto"/>
        <w:bottom w:val="none" w:sz="0" w:space="0" w:color="auto"/>
        <w:right w:val="none" w:sz="0" w:space="0" w:color="auto"/>
      </w:divBdr>
    </w:div>
    <w:div w:id="146478210">
      <w:bodyDiv w:val="1"/>
      <w:marLeft w:val="0"/>
      <w:marRight w:val="0"/>
      <w:marTop w:val="0"/>
      <w:marBottom w:val="0"/>
      <w:divBdr>
        <w:top w:val="none" w:sz="0" w:space="0" w:color="auto"/>
        <w:left w:val="none" w:sz="0" w:space="0" w:color="auto"/>
        <w:bottom w:val="none" w:sz="0" w:space="0" w:color="auto"/>
        <w:right w:val="none" w:sz="0" w:space="0" w:color="auto"/>
      </w:divBdr>
    </w:div>
    <w:div w:id="167983158">
      <w:bodyDiv w:val="1"/>
      <w:marLeft w:val="0"/>
      <w:marRight w:val="0"/>
      <w:marTop w:val="0"/>
      <w:marBottom w:val="0"/>
      <w:divBdr>
        <w:top w:val="none" w:sz="0" w:space="0" w:color="auto"/>
        <w:left w:val="none" w:sz="0" w:space="0" w:color="auto"/>
        <w:bottom w:val="none" w:sz="0" w:space="0" w:color="auto"/>
        <w:right w:val="none" w:sz="0" w:space="0" w:color="auto"/>
      </w:divBdr>
    </w:div>
    <w:div w:id="176311725">
      <w:bodyDiv w:val="1"/>
      <w:marLeft w:val="0"/>
      <w:marRight w:val="0"/>
      <w:marTop w:val="0"/>
      <w:marBottom w:val="0"/>
      <w:divBdr>
        <w:top w:val="none" w:sz="0" w:space="0" w:color="auto"/>
        <w:left w:val="none" w:sz="0" w:space="0" w:color="auto"/>
        <w:bottom w:val="none" w:sz="0" w:space="0" w:color="auto"/>
        <w:right w:val="none" w:sz="0" w:space="0" w:color="auto"/>
      </w:divBdr>
      <w:divsChild>
        <w:div w:id="1491173109">
          <w:marLeft w:val="547"/>
          <w:marRight w:val="0"/>
          <w:marTop w:val="200"/>
          <w:marBottom w:val="0"/>
          <w:divBdr>
            <w:top w:val="none" w:sz="0" w:space="0" w:color="auto"/>
            <w:left w:val="none" w:sz="0" w:space="0" w:color="auto"/>
            <w:bottom w:val="none" w:sz="0" w:space="0" w:color="auto"/>
            <w:right w:val="none" w:sz="0" w:space="0" w:color="auto"/>
          </w:divBdr>
        </w:div>
        <w:div w:id="1449619005">
          <w:marLeft w:val="1224"/>
          <w:marRight w:val="0"/>
          <w:marTop w:val="100"/>
          <w:marBottom w:val="0"/>
          <w:divBdr>
            <w:top w:val="none" w:sz="0" w:space="0" w:color="auto"/>
            <w:left w:val="none" w:sz="0" w:space="0" w:color="auto"/>
            <w:bottom w:val="none" w:sz="0" w:space="0" w:color="auto"/>
            <w:right w:val="none" w:sz="0" w:space="0" w:color="auto"/>
          </w:divBdr>
        </w:div>
        <w:div w:id="128863372">
          <w:marLeft w:val="547"/>
          <w:marRight w:val="0"/>
          <w:marTop w:val="200"/>
          <w:marBottom w:val="0"/>
          <w:divBdr>
            <w:top w:val="none" w:sz="0" w:space="0" w:color="auto"/>
            <w:left w:val="none" w:sz="0" w:space="0" w:color="auto"/>
            <w:bottom w:val="none" w:sz="0" w:space="0" w:color="auto"/>
            <w:right w:val="none" w:sz="0" w:space="0" w:color="auto"/>
          </w:divBdr>
        </w:div>
        <w:div w:id="1193150409">
          <w:marLeft w:val="1224"/>
          <w:marRight w:val="0"/>
          <w:marTop w:val="100"/>
          <w:marBottom w:val="0"/>
          <w:divBdr>
            <w:top w:val="none" w:sz="0" w:space="0" w:color="auto"/>
            <w:left w:val="none" w:sz="0" w:space="0" w:color="auto"/>
            <w:bottom w:val="none" w:sz="0" w:space="0" w:color="auto"/>
            <w:right w:val="none" w:sz="0" w:space="0" w:color="auto"/>
          </w:divBdr>
        </w:div>
        <w:div w:id="310255852">
          <w:marLeft w:val="1224"/>
          <w:marRight w:val="0"/>
          <w:marTop w:val="100"/>
          <w:marBottom w:val="0"/>
          <w:divBdr>
            <w:top w:val="none" w:sz="0" w:space="0" w:color="auto"/>
            <w:left w:val="none" w:sz="0" w:space="0" w:color="auto"/>
            <w:bottom w:val="none" w:sz="0" w:space="0" w:color="auto"/>
            <w:right w:val="none" w:sz="0" w:space="0" w:color="auto"/>
          </w:divBdr>
        </w:div>
        <w:div w:id="83694550">
          <w:marLeft w:val="547"/>
          <w:marRight w:val="0"/>
          <w:marTop w:val="200"/>
          <w:marBottom w:val="0"/>
          <w:divBdr>
            <w:top w:val="none" w:sz="0" w:space="0" w:color="auto"/>
            <w:left w:val="none" w:sz="0" w:space="0" w:color="auto"/>
            <w:bottom w:val="none" w:sz="0" w:space="0" w:color="auto"/>
            <w:right w:val="none" w:sz="0" w:space="0" w:color="auto"/>
          </w:divBdr>
        </w:div>
      </w:divsChild>
    </w:div>
    <w:div w:id="207953504">
      <w:bodyDiv w:val="1"/>
      <w:marLeft w:val="0"/>
      <w:marRight w:val="0"/>
      <w:marTop w:val="0"/>
      <w:marBottom w:val="0"/>
      <w:divBdr>
        <w:top w:val="none" w:sz="0" w:space="0" w:color="auto"/>
        <w:left w:val="none" w:sz="0" w:space="0" w:color="auto"/>
        <w:bottom w:val="none" w:sz="0" w:space="0" w:color="auto"/>
        <w:right w:val="none" w:sz="0" w:space="0" w:color="auto"/>
      </w:divBdr>
    </w:div>
    <w:div w:id="513226209">
      <w:bodyDiv w:val="1"/>
      <w:marLeft w:val="0"/>
      <w:marRight w:val="0"/>
      <w:marTop w:val="0"/>
      <w:marBottom w:val="0"/>
      <w:divBdr>
        <w:top w:val="none" w:sz="0" w:space="0" w:color="auto"/>
        <w:left w:val="none" w:sz="0" w:space="0" w:color="auto"/>
        <w:bottom w:val="none" w:sz="0" w:space="0" w:color="auto"/>
        <w:right w:val="none" w:sz="0" w:space="0" w:color="auto"/>
      </w:divBdr>
    </w:div>
    <w:div w:id="625544418">
      <w:bodyDiv w:val="1"/>
      <w:marLeft w:val="0"/>
      <w:marRight w:val="0"/>
      <w:marTop w:val="0"/>
      <w:marBottom w:val="0"/>
      <w:divBdr>
        <w:top w:val="none" w:sz="0" w:space="0" w:color="auto"/>
        <w:left w:val="none" w:sz="0" w:space="0" w:color="auto"/>
        <w:bottom w:val="none" w:sz="0" w:space="0" w:color="auto"/>
        <w:right w:val="none" w:sz="0" w:space="0" w:color="auto"/>
      </w:divBdr>
    </w:div>
    <w:div w:id="645814593">
      <w:bodyDiv w:val="1"/>
      <w:marLeft w:val="0"/>
      <w:marRight w:val="0"/>
      <w:marTop w:val="0"/>
      <w:marBottom w:val="0"/>
      <w:divBdr>
        <w:top w:val="none" w:sz="0" w:space="0" w:color="auto"/>
        <w:left w:val="none" w:sz="0" w:space="0" w:color="auto"/>
        <w:bottom w:val="none" w:sz="0" w:space="0" w:color="auto"/>
        <w:right w:val="none" w:sz="0" w:space="0" w:color="auto"/>
      </w:divBdr>
    </w:div>
    <w:div w:id="899512019">
      <w:bodyDiv w:val="1"/>
      <w:marLeft w:val="0"/>
      <w:marRight w:val="0"/>
      <w:marTop w:val="0"/>
      <w:marBottom w:val="0"/>
      <w:divBdr>
        <w:top w:val="none" w:sz="0" w:space="0" w:color="auto"/>
        <w:left w:val="none" w:sz="0" w:space="0" w:color="auto"/>
        <w:bottom w:val="none" w:sz="0" w:space="0" w:color="auto"/>
        <w:right w:val="none" w:sz="0" w:space="0" w:color="auto"/>
      </w:divBdr>
    </w:div>
    <w:div w:id="1846284717">
      <w:bodyDiv w:val="1"/>
      <w:marLeft w:val="0"/>
      <w:marRight w:val="0"/>
      <w:marTop w:val="0"/>
      <w:marBottom w:val="0"/>
      <w:divBdr>
        <w:top w:val="none" w:sz="0" w:space="0" w:color="auto"/>
        <w:left w:val="none" w:sz="0" w:space="0" w:color="auto"/>
        <w:bottom w:val="none" w:sz="0" w:space="0" w:color="auto"/>
        <w:right w:val="none" w:sz="0" w:space="0" w:color="auto"/>
      </w:divBdr>
      <w:divsChild>
        <w:div w:id="1660420526">
          <w:marLeft w:val="547"/>
          <w:marRight w:val="0"/>
          <w:marTop w:val="200"/>
          <w:marBottom w:val="0"/>
          <w:divBdr>
            <w:top w:val="none" w:sz="0" w:space="0" w:color="auto"/>
            <w:left w:val="none" w:sz="0" w:space="0" w:color="auto"/>
            <w:bottom w:val="none" w:sz="0" w:space="0" w:color="auto"/>
            <w:right w:val="none" w:sz="0" w:space="0" w:color="auto"/>
          </w:divBdr>
        </w:div>
        <w:div w:id="710765604">
          <w:marLeft w:val="1224"/>
          <w:marRight w:val="0"/>
          <w:marTop w:val="100"/>
          <w:marBottom w:val="0"/>
          <w:divBdr>
            <w:top w:val="none" w:sz="0" w:space="0" w:color="auto"/>
            <w:left w:val="none" w:sz="0" w:space="0" w:color="auto"/>
            <w:bottom w:val="none" w:sz="0" w:space="0" w:color="auto"/>
            <w:right w:val="none" w:sz="0" w:space="0" w:color="auto"/>
          </w:divBdr>
        </w:div>
        <w:div w:id="428163767">
          <w:marLeft w:val="1224"/>
          <w:marRight w:val="0"/>
          <w:marTop w:val="100"/>
          <w:marBottom w:val="0"/>
          <w:divBdr>
            <w:top w:val="none" w:sz="0" w:space="0" w:color="auto"/>
            <w:left w:val="none" w:sz="0" w:space="0" w:color="auto"/>
            <w:bottom w:val="none" w:sz="0" w:space="0" w:color="auto"/>
            <w:right w:val="none" w:sz="0" w:space="0" w:color="auto"/>
          </w:divBdr>
        </w:div>
        <w:div w:id="160581021">
          <w:marLeft w:val="547"/>
          <w:marRight w:val="0"/>
          <w:marTop w:val="200"/>
          <w:marBottom w:val="0"/>
          <w:divBdr>
            <w:top w:val="none" w:sz="0" w:space="0" w:color="auto"/>
            <w:left w:val="none" w:sz="0" w:space="0" w:color="auto"/>
            <w:bottom w:val="none" w:sz="0" w:space="0" w:color="auto"/>
            <w:right w:val="none" w:sz="0" w:space="0" w:color="auto"/>
          </w:divBdr>
        </w:div>
        <w:div w:id="200180694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ustlii.edu.au/cgi-bin/viewdoc/au/legis/cth/consol_act/dda1992264/s6.html"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austlii.edu.au/cgi-bin/viewdoc/au/legis/cth/consol_act/dda1992264/s5.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ustlii.edu.au/cgi-bin/viewdoc/au/legis/cth/consol_act/dda1992264/"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ustlii.edu.au/cgi-bin/viewdoc/au/legis/cth/consol_act/dda1992264/"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austlii.edu.au/cgi-bin/viewdoc/au/cases/cth/FMCA/2011/171.html" TargetMode="External"/><Relationship Id="rId2" Type="http://schemas.openxmlformats.org/officeDocument/2006/relationships/hyperlink" Target="http://www.austlii.edu.au/cgi-bin/viewdoc/au/legis/cth/consol_act/dda1992264/" TargetMode="External"/><Relationship Id="rId1" Type="http://schemas.openxmlformats.org/officeDocument/2006/relationships/hyperlink" Target="http://www.austlii.edu.au/au/legis/cth/consol_act/fwa2009114/index.html" TargetMode="External"/><Relationship Id="rId4" Type="http://schemas.openxmlformats.org/officeDocument/2006/relationships/hyperlink" Target="http://www.austlii.edu.au/cgi-bin/LawCite?cit=%282011%29%20207%20IR%201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94E0A525C5454E9756A7CEAB90F4D2" ma:contentTypeVersion="12" ma:contentTypeDescription="Create a new document." ma:contentTypeScope="" ma:versionID="ee9736854e79189b86e74a80a98bfc1c">
  <xsd:schema xmlns:xsd="http://www.w3.org/2001/XMLSchema" xmlns:xs="http://www.w3.org/2001/XMLSchema" xmlns:p="http://schemas.microsoft.com/office/2006/metadata/properties" xmlns:ns2="d437f072-6628-4d0a-84a6-97094f0ec0ba" xmlns:ns3="4c514802-102b-4e81-9377-99e4e51485ed" targetNamespace="http://schemas.microsoft.com/office/2006/metadata/properties" ma:root="true" ma:fieldsID="73b2d897da387135c9da414bac1bfca1" ns2:_="" ns3:_="">
    <xsd:import namespace="d437f072-6628-4d0a-84a6-97094f0ec0ba"/>
    <xsd:import namespace="4c514802-102b-4e81-9377-99e4e51485e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37f072-6628-4d0a-84a6-97094f0ec0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514802-102b-4e81-9377-99e4e51485e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96910-2420-490F-B3FC-3069DE087BEB}">
  <ds:schemaRefs>
    <ds:schemaRef ds:uri="http://schemas.microsoft.com/sharepoint/v3/contenttype/forms"/>
  </ds:schemaRefs>
</ds:datastoreItem>
</file>

<file path=customXml/itemProps2.xml><?xml version="1.0" encoding="utf-8"?>
<ds:datastoreItem xmlns:ds="http://schemas.openxmlformats.org/officeDocument/2006/customXml" ds:itemID="{4297B259-D18D-47B2-9C0A-8A6266BBCF3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d437f072-6628-4d0a-84a6-97094f0ec0ba"/>
    <ds:schemaRef ds:uri="4c514802-102b-4e81-9377-99e4e51485ed"/>
    <ds:schemaRef ds:uri="http://www.w3.org/XML/1998/namespace"/>
    <ds:schemaRef ds:uri="http://purl.org/dc/dcmitype/"/>
  </ds:schemaRefs>
</ds:datastoreItem>
</file>

<file path=customXml/itemProps3.xml><?xml version="1.0" encoding="utf-8"?>
<ds:datastoreItem xmlns:ds="http://schemas.openxmlformats.org/officeDocument/2006/customXml" ds:itemID="{484301D9-372F-458D-BD65-473CCA8E7B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37f072-6628-4d0a-84a6-97094f0ec0ba"/>
    <ds:schemaRef ds:uri="4c514802-102b-4e81-9377-99e4e51485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FCDCAB-A263-422D-BA57-DAA44A2E0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4343</Words>
  <Characters>30143</Characters>
  <Application>Microsoft Office Word</Application>
  <DocSecurity>4</DocSecurity>
  <Lines>486</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Chapman</dc:creator>
  <cp:keywords/>
  <dc:description/>
  <cp:lastModifiedBy>Angela Hendley-Boys</cp:lastModifiedBy>
  <cp:revision>2</cp:revision>
  <cp:lastPrinted>2019-11-27T21:34:00Z</cp:lastPrinted>
  <dcterms:created xsi:type="dcterms:W3CDTF">2020-10-05T04:09:00Z</dcterms:created>
  <dcterms:modified xsi:type="dcterms:W3CDTF">2020-10-05T04:09:00Z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0x0101005394E0A525C5454E9756A7CEAB90F4D2</vt:lpwstr>
  </property>
</Properties>
</file>