
<file path=[Content_Types].xml><?xml version="1.0" encoding="utf-8"?>
<Types xmlns="http://schemas.openxmlformats.org/package/2006/content-types">
  <Default Extension="rels" ContentType="application/vnd.openxmlformats-package.relationships+xml"/>
  <Default Extension="xml" ContentType="application/xml"/>
  <Default Extension="tiff" ContentType="image/tiff"/>
  <Default Extension="tif" ContentType="image/tif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450E2" w:rsidRPr="00725E72" w:rsidRDefault="000450E2" w:rsidP="00F61123">
      <w:pPr>
        <w:spacing w:after="120"/>
        <w:rPr>
          <w:rFonts w:cs="Arial"/>
          <w:b/>
          <w:sz w:val="24"/>
          <w:szCs w:val="24"/>
        </w:rPr>
      </w:pPr>
      <w:r w:rsidRPr="00725E72">
        <w:rPr>
          <w:rFonts w:cs="Arial"/>
          <w:b/>
          <w:sz w:val="24"/>
          <w:szCs w:val="24"/>
        </w:rPr>
        <w:t>Title</w:t>
      </w:r>
    </w:p>
    <w:p w:rsidR="000450E2" w:rsidRPr="00725E72" w:rsidRDefault="000450E2" w:rsidP="00497FE1">
      <w:pPr>
        <w:spacing w:after="120"/>
        <w:rPr>
          <w:rFonts w:cs="Arial"/>
          <w:sz w:val="24"/>
          <w:szCs w:val="24"/>
        </w:rPr>
      </w:pPr>
      <w:r w:rsidRPr="00725E72">
        <w:rPr>
          <w:rFonts w:cs="Arial"/>
          <w:sz w:val="24"/>
          <w:szCs w:val="24"/>
        </w:rPr>
        <w:t>Sex as a determinant of relapse incidence and progressive course of multiple sclerosis</w:t>
      </w:r>
    </w:p>
    <w:p w:rsidR="000450E2" w:rsidRPr="00725E72" w:rsidRDefault="000450E2" w:rsidP="00497FE1">
      <w:pPr>
        <w:spacing w:after="120"/>
        <w:rPr>
          <w:rFonts w:cs="Arial"/>
          <w:b/>
          <w:sz w:val="24"/>
          <w:szCs w:val="24"/>
        </w:rPr>
      </w:pPr>
    </w:p>
    <w:p w:rsidR="000450E2" w:rsidRPr="00725E72" w:rsidRDefault="000450E2" w:rsidP="00497FE1">
      <w:pPr>
        <w:spacing w:after="120"/>
        <w:rPr>
          <w:rFonts w:cs="Arial"/>
          <w:b/>
          <w:sz w:val="24"/>
          <w:szCs w:val="24"/>
        </w:rPr>
      </w:pPr>
      <w:r w:rsidRPr="00725E72">
        <w:rPr>
          <w:rFonts w:cs="Arial"/>
          <w:b/>
          <w:sz w:val="24"/>
          <w:szCs w:val="24"/>
        </w:rPr>
        <w:t>Running title</w:t>
      </w:r>
    </w:p>
    <w:p w:rsidR="000450E2" w:rsidRPr="00725E72" w:rsidRDefault="000450E2" w:rsidP="00497FE1">
      <w:pPr>
        <w:spacing w:after="120"/>
        <w:rPr>
          <w:rFonts w:cs="Arial"/>
          <w:sz w:val="24"/>
          <w:szCs w:val="24"/>
        </w:rPr>
      </w:pPr>
      <w:r w:rsidRPr="00725E72">
        <w:rPr>
          <w:rFonts w:cs="Arial"/>
          <w:sz w:val="24"/>
          <w:szCs w:val="24"/>
        </w:rPr>
        <w:t>Multiple sclerosis relapses: sex and age</w:t>
      </w:r>
    </w:p>
    <w:p w:rsidR="000450E2" w:rsidRPr="00725E72" w:rsidRDefault="000450E2" w:rsidP="00497FE1">
      <w:pPr>
        <w:spacing w:after="120"/>
        <w:rPr>
          <w:rFonts w:cs="Arial"/>
          <w:sz w:val="24"/>
          <w:szCs w:val="24"/>
        </w:rPr>
      </w:pPr>
    </w:p>
    <w:p w:rsidR="000450E2" w:rsidRPr="00725E72" w:rsidRDefault="000450E2" w:rsidP="00497FE1">
      <w:pPr>
        <w:spacing w:after="120"/>
        <w:rPr>
          <w:rFonts w:cs="Arial"/>
          <w:sz w:val="24"/>
          <w:szCs w:val="24"/>
        </w:rPr>
      </w:pPr>
      <w:r w:rsidRPr="00725E72">
        <w:rPr>
          <w:rFonts w:cs="Arial"/>
          <w:b/>
          <w:sz w:val="24"/>
          <w:szCs w:val="24"/>
        </w:rPr>
        <w:t>Authors and affiliations</w:t>
      </w:r>
    </w:p>
    <w:p w:rsidR="000450E2" w:rsidRPr="00725E72" w:rsidRDefault="000450E2" w:rsidP="004C0F1F">
      <w:pPr>
        <w:spacing w:after="0"/>
        <w:ind w:left="284" w:hanging="284"/>
        <w:rPr>
          <w:rFonts w:cs="Arial"/>
          <w:sz w:val="24"/>
          <w:szCs w:val="24"/>
        </w:rPr>
      </w:pPr>
      <w:r w:rsidRPr="00725E72">
        <w:rPr>
          <w:rFonts w:cs="Arial"/>
          <w:sz w:val="24"/>
          <w:szCs w:val="24"/>
        </w:rPr>
        <w:t>Tomas Kalincik; Department of Medicine, University of Melbourne, Melbourne, Australia; Department of Neurology, Royal Melbourne Hospital, Melbourne, Australia</w:t>
      </w:r>
    </w:p>
    <w:p w:rsidR="000450E2" w:rsidRPr="00725E72" w:rsidRDefault="000450E2" w:rsidP="004C0F1F">
      <w:pPr>
        <w:spacing w:after="0"/>
        <w:ind w:left="284" w:hanging="284"/>
        <w:rPr>
          <w:rFonts w:cs="Arial"/>
          <w:sz w:val="24"/>
          <w:szCs w:val="24"/>
        </w:rPr>
      </w:pPr>
      <w:r w:rsidRPr="00725E72">
        <w:rPr>
          <w:rFonts w:cs="Arial"/>
          <w:sz w:val="24"/>
          <w:szCs w:val="24"/>
        </w:rPr>
        <w:t xml:space="preserve">Vino </w:t>
      </w:r>
      <w:proofErr w:type="spellStart"/>
      <w:r w:rsidRPr="00725E72">
        <w:rPr>
          <w:rFonts w:cs="Arial"/>
          <w:sz w:val="24"/>
          <w:szCs w:val="24"/>
        </w:rPr>
        <w:t>Vivek</w:t>
      </w:r>
      <w:proofErr w:type="spellEnd"/>
      <w:r w:rsidRPr="00725E72">
        <w:rPr>
          <w:rFonts w:cs="Arial"/>
          <w:sz w:val="24"/>
          <w:szCs w:val="24"/>
        </w:rPr>
        <w:t>; Department of Neurology, Royal Melbourne Hospital, Melbourne, Australia</w:t>
      </w:r>
    </w:p>
    <w:p w:rsidR="000450E2" w:rsidRPr="00725E72" w:rsidRDefault="000450E2" w:rsidP="00550DB8">
      <w:pPr>
        <w:spacing w:after="0"/>
        <w:ind w:left="284" w:hanging="284"/>
        <w:rPr>
          <w:rFonts w:cs="Arial"/>
          <w:sz w:val="24"/>
          <w:szCs w:val="24"/>
        </w:rPr>
      </w:pPr>
      <w:proofErr w:type="spellStart"/>
      <w:r w:rsidRPr="00725E72">
        <w:rPr>
          <w:rFonts w:cs="Arial"/>
          <w:sz w:val="24"/>
          <w:szCs w:val="24"/>
        </w:rPr>
        <w:t>Vilija</w:t>
      </w:r>
      <w:proofErr w:type="spellEnd"/>
      <w:r w:rsidRPr="00725E72">
        <w:rPr>
          <w:rFonts w:cs="Arial"/>
          <w:sz w:val="24"/>
          <w:szCs w:val="24"/>
        </w:rPr>
        <w:t xml:space="preserve"> </w:t>
      </w:r>
      <w:proofErr w:type="spellStart"/>
      <w:r w:rsidRPr="00725E72">
        <w:rPr>
          <w:rFonts w:cs="Arial"/>
          <w:sz w:val="24"/>
          <w:szCs w:val="24"/>
        </w:rPr>
        <w:t>Jokubaitis</w:t>
      </w:r>
      <w:proofErr w:type="spellEnd"/>
      <w:r w:rsidRPr="00725E72">
        <w:rPr>
          <w:rFonts w:cs="Arial"/>
          <w:sz w:val="24"/>
          <w:szCs w:val="24"/>
        </w:rPr>
        <w:t>; Department of Medicine, University of Melbourne, Melbourne, Australia</w:t>
      </w:r>
    </w:p>
    <w:p w:rsidR="000450E2" w:rsidRPr="00725E72" w:rsidRDefault="000450E2" w:rsidP="004C0F1F">
      <w:pPr>
        <w:spacing w:after="0"/>
        <w:ind w:left="284" w:hanging="284"/>
        <w:rPr>
          <w:rFonts w:cs="Arial"/>
          <w:sz w:val="24"/>
          <w:szCs w:val="24"/>
        </w:rPr>
      </w:pPr>
      <w:r w:rsidRPr="00725E72">
        <w:rPr>
          <w:rFonts w:cs="Arial"/>
          <w:sz w:val="24"/>
          <w:szCs w:val="24"/>
        </w:rPr>
        <w:t xml:space="preserve">Jeannette </w:t>
      </w:r>
      <w:proofErr w:type="spellStart"/>
      <w:r w:rsidRPr="00725E72">
        <w:rPr>
          <w:rFonts w:cs="Arial"/>
          <w:sz w:val="24"/>
          <w:szCs w:val="24"/>
        </w:rPr>
        <w:t>Lechner</w:t>
      </w:r>
      <w:proofErr w:type="spellEnd"/>
      <w:r w:rsidRPr="00725E72">
        <w:rPr>
          <w:rFonts w:cs="Arial"/>
          <w:sz w:val="24"/>
          <w:szCs w:val="24"/>
        </w:rPr>
        <w:t>-Scott; John Hunter Hospital, Newcastle, Australia</w:t>
      </w:r>
    </w:p>
    <w:p w:rsidR="000450E2" w:rsidRPr="00725E72" w:rsidRDefault="000450E2" w:rsidP="004C0F1F">
      <w:pPr>
        <w:spacing w:after="0"/>
        <w:ind w:left="284" w:hanging="284"/>
        <w:rPr>
          <w:rFonts w:cs="Arial"/>
          <w:sz w:val="24"/>
          <w:szCs w:val="24"/>
        </w:rPr>
      </w:pPr>
      <w:r w:rsidRPr="00725E72">
        <w:rPr>
          <w:rFonts w:cs="Arial"/>
          <w:sz w:val="24"/>
          <w:szCs w:val="24"/>
        </w:rPr>
        <w:t xml:space="preserve">Maria </w:t>
      </w:r>
      <w:proofErr w:type="spellStart"/>
      <w:r w:rsidRPr="00725E72">
        <w:rPr>
          <w:rFonts w:cs="Arial"/>
          <w:sz w:val="24"/>
          <w:szCs w:val="24"/>
        </w:rPr>
        <w:t>Trojano</w:t>
      </w:r>
      <w:proofErr w:type="spellEnd"/>
      <w:r w:rsidRPr="00725E72">
        <w:rPr>
          <w:rFonts w:cs="Arial"/>
          <w:sz w:val="24"/>
          <w:szCs w:val="24"/>
        </w:rPr>
        <w:t>; Department of Basic Medical Sciences, Neuroscience and Sense Organs, University of Bari, Bari, Italy</w:t>
      </w:r>
    </w:p>
    <w:p w:rsidR="000450E2" w:rsidRPr="00725E72" w:rsidRDefault="000450E2" w:rsidP="004C0F1F">
      <w:pPr>
        <w:spacing w:after="0"/>
        <w:ind w:left="284" w:hanging="284"/>
        <w:rPr>
          <w:rFonts w:cs="Arial"/>
          <w:sz w:val="24"/>
          <w:szCs w:val="24"/>
        </w:rPr>
      </w:pPr>
      <w:r w:rsidRPr="00725E72">
        <w:rPr>
          <w:rFonts w:cs="Arial"/>
          <w:sz w:val="24"/>
          <w:szCs w:val="24"/>
        </w:rPr>
        <w:t xml:space="preserve">Guillermo </w:t>
      </w:r>
      <w:proofErr w:type="spellStart"/>
      <w:r w:rsidRPr="00725E72">
        <w:rPr>
          <w:rFonts w:cs="Arial"/>
          <w:sz w:val="24"/>
          <w:szCs w:val="24"/>
        </w:rPr>
        <w:t>Izquierdo</w:t>
      </w:r>
      <w:proofErr w:type="spellEnd"/>
      <w:r w:rsidRPr="00725E72">
        <w:rPr>
          <w:rFonts w:cs="Arial"/>
          <w:sz w:val="24"/>
          <w:szCs w:val="24"/>
        </w:rPr>
        <w:t xml:space="preserve">; Hospital </w:t>
      </w:r>
      <w:proofErr w:type="spellStart"/>
      <w:r w:rsidRPr="00725E72">
        <w:rPr>
          <w:rFonts w:cs="Arial"/>
          <w:sz w:val="24"/>
          <w:szCs w:val="24"/>
        </w:rPr>
        <w:t>Universitario</w:t>
      </w:r>
      <w:proofErr w:type="spellEnd"/>
      <w:r w:rsidRPr="00725E72">
        <w:rPr>
          <w:rFonts w:cs="Arial"/>
          <w:sz w:val="24"/>
          <w:szCs w:val="24"/>
        </w:rPr>
        <w:t xml:space="preserve"> </w:t>
      </w:r>
      <w:proofErr w:type="spellStart"/>
      <w:r w:rsidRPr="00725E72">
        <w:rPr>
          <w:rFonts w:cs="Arial"/>
          <w:sz w:val="24"/>
          <w:szCs w:val="24"/>
        </w:rPr>
        <w:t>Virgen</w:t>
      </w:r>
      <w:proofErr w:type="spellEnd"/>
      <w:r w:rsidRPr="00725E72">
        <w:rPr>
          <w:rFonts w:cs="Arial"/>
          <w:sz w:val="24"/>
          <w:szCs w:val="24"/>
        </w:rPr>
        <w:t xml:space="preserve"> Macarena, </w:t>
      </w:r>
      <w:proofErr w:type="spellStart"/>
      <w:r w:rsidRPr="00725E72">
        <w:rPr>
          <w:rFonts w:cs="Arial"/>
          <w:sz w:val="24"/>
          <w:szCs w:val="24"/>
        </w:rPr>
        <w:t>Sevilla</w:t>
      </w:r>
      <w:proofErr w:type="spellEnd"/>
      <w:r w:rsidRPr="00725E72">
        <w:rPr>
          <w:rFonts w:cs="Arial"/>
          <w:sz w:val="24"/>
          <w:szCs w:val="24"/>
        </w:rPr>
        <w:t>, Spain</w:t>
      </w:r>
    </w:p>
    <w:p w:rsidR="000450E2" w:rsidRPr="00725E72" w:rsidRDefault="000450E2" w:rsidP="004C0F1F">
      <w:pPr>
        <w:spacing w:after="0"/>
        <w:ind w:left="284" w:hanging="284"/>
        <w:rPr>
          <w:rFonts w:cs="Arial"/>
          <w:sz w:val="24"/>
          <w:szCs w:val="24"/>
        </w:rPr>
      </w:pPr>
      <w:r w:rsidRPr="00725E72">
        <w:rPr>
          <w:rFonts w:cs="Arial"/>
          <w:sz w:val="24"/>
          <w:szCs w:val="24"/>
        </w:rPr>
        <w:t xml:space="preserve">Alessandra </w:t>
      </w:r>
      <w:proofErr w:type="spellStart"/>
      <w:r w:rsidRPr="00725E72">
        <w:rPr>
          <w:rFonts w:cs="Arial"/>
          <w:sz w:val="24"/>
          <w:szCs w:val="24"/>
        </w:rPr>
        <w:t>Lugaresi</w:t>
      </w:r>
      <w:proofErr w:type="spellEnd"/>
      <w:r w:rsidRPr="00725E72">
        <w:rPr>
          <w:rFonts w:cs="Arial"/>
          <w:sz w:val="24"/>
          <w:szCs w:val="24"/>
        </w:rPr>
        <w:t xml:space="preserve">; MS </w:t>
      </w:r>
      <w:proofErr w:type="spellStart"/>
      <w:r w:rsidRPr="00725E72">
        <w:rPr>
          <w:rFonts w:cs="Arial"/>
          <w:sz w:val="24"/>
          <w:szCs w:val="24"/>
        </w:rPr>
        <w:t>Center</w:t>
      </w:r>
      <w:proofErr w:type="spellEnd"/>
      <w:r w:rsidRPr="00725E72">
        <w:rPr>
          <w:rFonts w:cs="Arial"/>
          <w:sz w:val="24"/>
          <w:szCs w:val="24"/>
        </w:rPr>
        <w:t xml:space="preserve">, Department of Neuroscience and Imaging, University ‘G. </w:t>
      </w:r>
      <w:proofErr w:type="spellStart"/>
      <w:r w:rsidRPr="00725E72">
        <w:rPr>
          <w:rFonts w:cs="Arial"/>
          <w:sz w:val="24"/>
          <w:szCs w:val="24"/>
        </w:rPr>
        <w:t>d’Annunzio</w:t>
      </w:r>
      <w:proofErr w:type="spellEnd"/>
      <w:r w:rsidRPr="00725E72">
        <w:rPr>
          <w:rFonts w:cs="Arial"/>
          <w:sz w:val="24"/>
          <w:szCs w:val="24"/>
        </w:rPr>
        <w:t>’, Chieti, Italy</w:t>
      </w:r>
    </w:p>
    <w:p w:rsidR="000450E2" w:rsidRPr="00725E72" w:rsidRDefault="000450E2" w:rsidP="004C0F1F">
      <w:pPr>
        <w:spacing w:after="0"/>
        <w:ind w:left="284" w:hanging="284"/>
        <w:rPr>
          <w:rFonts w:cs="Arial"/>
          <w:sz w:val="24"/>
          <w:szCs w:val="24"/>
        </w:rPr>
      </w:pPr>
      <w:r w:rsidRPr="00725E72">
        <w:rPr>
          <w:rFonts w:cs="Arial"/>
          <w:sz w:val="24"/>
          <w:szCs w:val="24"/>
        </w:rPr>
        <w:t xml:space="preserve">Francois </w:t>
      </w:r>
      <w:proofErr w:type="spellStart"/>
      <w:r w:rsidRPr="00725E72">
        <w:rPr>
          <w:rFonts w:cs="Arial"/>
          <w:sz w:val="24"/>
          <w:szCs w:val="24"/>
        </w:rPr>
        <w:t>Grand’Maison</w:t>
      </w:r>
      <w:proofErr w:type="spellEnd"/>
      <w:r w:rsidRPr="00725E72">
        <w:rPr>
          <w:rFonts w:cs="Arial"/>
          <w:sz w:val="24"/>
          <w:szCs w:val="24"/>
        </w:rPr>
        <w:t>; Neuro Rive-</w:t>
      </w:r>
      <w:proofErr w:type="spellStart"/>
      <w:r w:rsidRPr="00725E72">
        <w:rPr>
          <w:rFonts w:cs="Arial"/>
          <w:sz w:val="24"/>
          <w:szCs w:val="24"/>
        </w:rPr>
        <w:t>Sud</w:t>
      </w:r>
      <w:proofErr w:type="spellEnd"/>
      <w:r w:rsidRPr="00725E72">
        <w:rPr>
          <w:rFonts w:cs="Arial"/>
          <w:sz w:val="24"/>
          <w:szCs w:val="24"/>
        </w:rPr>
        <w:t xml:space="preserve">, </w:t>
      </w:r>
      <w:proofErr w:type="spellStart"/>
      <w:r w:rsidRPr="00725E72">
        <w:rPr>
          <w:rFonts w:cs="Arial"/>
          <w:sz w:val="24"/>
          <w:szCs w:val="24"/>
        </w:rPr>
        <w:t>Hôpital</w:t>
      </w:r>
      <w:proofErr w:type="spellEnd"/>
      <w:r w:rsidRPr="00725E72">
        <w:rPr>
          <w:rFonts w:cs="Arial"/>
          <w:sz w:val="24"/>
          <w:szCs w:val="24"/>
        </w:rPr>
        <w:t xml:space="preserve"> Charles </w:t>
      </w:r>
      <w:proofErr w:type="spellStart"/>
      <w:r w:rsidRPr="00725E72">
        <w:rPr>
          <w:rFonts w:cs="Arial"/>
          <w:sz w:val="24"/>
          <w:szCs w:val="24"/>
        </w:rPr>
        <w:t>LeMoyne</w:t>
      </w:r>
      <w:proofErr w:type="spellEnd"/>
      <w:r w:rsidRPr="00725E72">
        <w:rPr>
          <w:rFonts w:cs="Arial"/>
          <w:sz w:val="24"/>
          <w:szCs w:val="24"/>
        </w:rPr>
        <w:t>, Quebec, Canada</w:t>
      </w:r>
    </w:p>
    <w:p w:rsidR="000450E2" w:rsidRPr="00725E72" w:rsidRDefault="000450E2" w:rsidP="004C0F1F">
      <w:pPr>
        <w:spacing w:after="0"/>
        <w:ind w:left="284" w:hanging="284"/>
        <w:rPr>
          <w:rFonts w:cs="Arial"/>
          <w:sz w:val="24"/>
          <w:szCs w:val="24"/>
        </w:rPr>
      </w:pPr>
      <w:r w:rsidRPr="00725E72">
        <w:rPr>
          <w:rFonts w:cs="Arial"/>
          <w:sz w:val="24"/>
          <w:szCs w:val="24"/>
        </w:rPr>
        <w:t xml:space="preserve">Raymond </w:t>
      </w:r>
      <w:proofErr w:type="spellStart"/>
      <w:r w:rsidRPr="00725E72">
        <w:rPr>
          <w:rFonts w:cs="Arial"/>
          <w:sz w:val="24"/>
          <w:szCs w:val="24"/>
        </w:rPr>
        <w:t>Hupperts</w:t>
      </w:r>
      <w:proofErr w:type="spellEnd"/>
      <w:r w:rsidRPr="00725E72">
        <w:rPr>
          <w:rFonts w:cs="Arial"/>
          <w:sz w:val="24"/>
          <w:szCs w:val="24"/>
        </w:rPr>
        <w:t xml:space="preserve">; </w:t>
      </w:r>
      <w:proofErr w:type="spellStart"/>
      <w:r w:rsidRPr="00725E72">
        <w:rPr>
          <w:rFonts w:cs="Arial"/>
          <w:sz w:val="24"/>
          <w:szCs w:val="24"/>
        </w:rPr>
        <w:t>Orbis</w:t>
      </w:r>
      <w:proofErr w:type="spellEnd"/>
      <w:r w:rsidRPr="00725E72">
        <w:rPr>
          <w:rFonts w:cs="Arial"/>
          <w:sz w:val="24"/>
          <w:szCs w:val="24"/>
        </w:rPr>
        <w:t xml:space="preserve"> </w:t>
      </w:r>
      <w:proofErr w:type="spellStart"/>
      <w:r w:rsidRPr="00725E72">
        <w:rPr>
          <w:rFonts w:cs="Arial"/>
          <w:sz w:val="24"/>
          <w:szCs w:val="24"/>
        </w:rPr>
        <w:t>Medicle</w:t>
      </w:r>
      <w:proofErr w:type="spellEnd"/>
      <w:r w:rsidRPr="00725E72">
        <w:rPr>
          <w:rFonts w:cs="Arial"/>
          <w:sz w:val="24"/>
          <w:szCs w:val="24"/>
        </w:rPr>
        <w:t xml:space="preserve"> </w:t>
      </w:r>
      <w:proofErr w:type="spellStart"/>
      <w:r w:rsidRPr="00725E72">
        <w:rPr>
          <w:rFonts w:cs="Arial"/>
          <w:sz w:val="24"/>
          <w:szCs w:val="24"/>
        </w:rPr>
        <w:t>Center</w:t>
      </w:r>
      <w:proofErr w:type="spellEnd"/>
      <w:r w:rsidRPr="00725E72">
        <w:rPr>
          <w:rFonts w:cs="Arial"/>
          <w:sz w:val="24"/>
          <w:szCs w:val="24"/>
        </w:rPr>
        <w:t xml:space="preserve">, </w:t>
      </w:r>
      <w:proofErr w:type="spellStart"/>
      <w:r w:rsidRPr="00725E72">
        <w:rPr>
          <w:rFonts w:cs="Arial"/>
          <w:sz w:val="24"/>
          <w:szCs w:val="24"/>
        </w:rPr>
        <w:t>Sittard</w:t>
      </w:r>
      <w:proofErr w:type="spellEnd"/>
      <w:r w:rsidRPr="00725E72">
        <w:rPr>
          <w:rFonts w:cs="Arial"/>
          <w:sz w:val="24"/>
          <w:szCs w:val="24"/>
        </w:rPr>
        <w:t xml:space="preserve">, </w:t>
      </w:r>
      <w:proofErr w:type="gramStart"/>
      <w:r w:rsidRPr="00725E72">
        <w:rPr>
          <w:rFonts w:cs="Arial"/>
          <w:sz w:val="24"/>
          <w:szCs w:val="24"/>
        </w:rPr>
        <w:t>The</w:t>
      </w:r>
      <w:proofErr w:type="gramEnd"/>
      <w:r w:rsidRPr="00725E72">
        <w:rPr>
          <w:rFonts w:cs="Arial"/>
          <w:sz w:val="24"/>
          <w:szCs w:val="24"/>
        </w:rPr>
        <w:t xml:space="preserve"> Netherlands</w:t>
      </w:r>
    </w:p>
    <w:p w:rsidR="000450E2" w:rsidRPr="00725E72" w:rsidRDefault="000450E2" w:rsidP="004C0F1F">
      <w:pPr>
        <w:spacing w:after="0"/>
        <w:ind w:left="284" w:hanging="284"/>
        <w:rPr>
          <w:rFonts w:cs="Arial"/>
          <w:sz w:val="24"/>
          <w:szCs w:val="24"/>
        </w:rPr>
      </w:pPr>
      <w:r w:rsidRPr="00725E72">
        <w:rPr>
          <w:rFonts w:cs="Arial"/>
          <w:sz w:val="24"/>
          <w:szCs w:val="24"/>
        </w:rPr>
        <w:t xml:space="preserve">Celia </w:t>
      </w:r>
      <w:proofErr w:type="spellStart"/>
      <w:r w:rsidRPr="00725E72">
        <w:rPr>
          <w:rFonts w:cs="Arial"/>
          <w:sz w:val="24"/>
          <w:szCs w:val="24"/>
        </w:rPr>
        <w:t>Oreja</w:t>
      </w:r>
      <w:proofErr w:type="spellEnd"/>
      <w:r w:rsidRPr="00725E72">
        <w:rPr>
          <w:rFonts w:cs="Arial"/>
          <w:sz w:val="24"/>
          <w:szCs w:val="24"/>
        </w:rPr>
        <w:t xml:space="preserve">-Guevara; University Hospital San Carlos, </w:t>
      </w:r>
      <w:proofErr w:type="spellStart"/>
      <w:r w:rsidRPr="00725E72">
        <w:rPr>
          <w:rFonts w:cs="Arial"/>
          <w:sz w:val="24"/>
          <w:szCs w:val="24"/>
        </w:rPr>
        <w:t>IdISSC</w:t>
      </w:r>
      <w:proofErr w:type="spellEnd"/>
      <w:r w:rsidRPr="00725E72">
        <w:rPr>
          <w:rFonts w:cs="Arial"/>
          <w:sz w:val="24"/>
          <w:szCs w:val="24"/>
        </w:rPr>
        <w:t>, Madrid, Spain</w:t>
      </w:r>
    </w:p>
    <w:p w:rsidR="000450E2" w:rsidRPr="00725E72" w:rsidRDefault="000450E2" w:rsidP="004C0F1F">
      <w:pPr>
        <w:spacing w:after="0"/>
        <w:ind w:left="284" w:hanging="284"/>
        <w:rPr>
          <w:rFonts w:cs="Arial"/>
          <w:sz w:val="24"/>
          <w:szCs w:val="24"/>
        </w:rPr>
      </w:pPr>
      <w:r w:rsidRPr="00725E72">
        <w:rPr>
          <w:rFonts w:cs="Arial"/>
          <w:sz w:val="24"/>
          <w:szCs w:val="24"/>
        </w:rPr>
        <w:t xml:space="preserve">Roberto </w:t>
      </w:r>
      <w:proofErr w:type="spellStart"/>
      <w:r w:rsidRPr="00725E72">
        <w:rPr>
          <w:rFonts w:cs="Arial"/>
          <w:sz w:val="24"/>
          <w:szCs w:val="24"/>
        </w:rPr>
        <w:t>Bergamaschi</w:t>
      </w:r>
      <w:proofErr w:type="spellEnd"/>
      <w:r w:rsidRPr="00725E72">
        <w:rPr>
          <w:rFonts w:cs="Arial"/>
          <w:sz w:val="24"/>
          <w:szCs w:val="24"/>
        </w:rPr>
        <w:t xml:space="preserve">; Neurological Institute IRCCS </w:t>
      </w:r>
      <w:proofErr w:type="spellStart"/>
      <w:r w:rsidRPr="00725E72">
        <w:rPr>
          <w:rFonts w:cs="Arial"/>
          <w:sz w:val="24"/>
          <w:szCs w:val="24"/>
        </w:rPr>
        <w:t>Mondino</w:t>
      </w:r>
      <w:proofErr w:type="spellEnd"/>
      <w:r w:rsidRPr="00725E72">
        <w:rPr>
          <w:rFonts w:cs="Arial"/>
          <w:sz w:val="24"/>
          <w:szCs w:val="24"/>
        </w:rPr>
        <w:t>, Pavia, Italy</w:t>
      </w:r>
    </w:p>
    <w:p w:rsidR="000450E2" w:rsidRPr="00725E72" w:rsidRDefault="000450E2" w:rsidP="004C0F1F">
      <w:pPr>
        <w:spacing w:after="0"/>
        <w:ind w:left="284" w:hanging="284"/>
        <w:rPr>
          <w:rFonts w:cs="Arial"/>
          <w:sz w:val="24"/>
          <w:szCs w:val="24"/>
        </w:rPr>
      </w:pPr>
      <w:r w:rsidRPr="00725E72">
        <w:rPr>
          <w:rFonts w:cs="Arial"/>
          <w:sz w:val="24"/>
          <w:szCs w:val="24"/>
        </w:rPr>
        <w:t xml:space="preserve">Gerardo </w:t>
      </w:r>
      <w:proofErr w:type="spellStart"/>
      <w:r w:rsidRPr="00725E72">
        <w:rPr>
          <w:rFonts w:cs="Arial"/>
          <w:sz w:val="24"/>
          <w:szCs w:val="24"/>
        </w:rPr>
        <w:t>Iuliano</w:t>
      </w:r>
      <w:proofErr w:type="spellEnd"/>
      <w:r w:rsidRPr="00725E72">
        <w:rPr>
          <w:rFonts w:cs="Arial"/>
          <w:sz w:val="24"/>
          <w:szCs w:val="24"/>
        </w:rPr>
        <w:t xml:space="preserve">; </w:t>
      </w:r>
      <w:proofErr w:type="spellStart"/>
      <w:r w:rsidRPr="00725E72">
        <w:rPr>
          <w:rFonts w:cs="Arial"/>
          <w:sz w:val="24"/>
          <w:szCs w:val="24"/>
        </w:rPr>
        <w:t>Ospedali</w:t>
      </w:r>
      <w:proofErr w:type="spellEnd"/>
      <w:r w:rsidRPr="00725E72">
        <w:rPr>
          <w:rFonts w:cs="Arial"/>
          <w:sz w:val="24"/>
          <w:szCs w:val="24"/>
        </w:rPr>
        <w:t xml:space="preserve"> </w:t>
      </w:r>
      <w:proofErr w:type="spellStart"/>
      <w:r w:rsidRPr="00725E72">
        <w:rPr>
          <w:rFonts w:cs="Arial"/>
          <w:sz w:val="24"/>
          <w:szCs w:val="24"/>
        </w:rPr>
        <w:t>Riuniti</w:t>
      </w:r>
      <w:proofErr w:type="spellEnd"/>
      <w:r w:rsidRPr="00725E72">
        <w:rPr>
          <w:rFonts w:cs="Arial"/>
          <w:sz w:val="24"/>
          <w:szCs w:val="24"/>
        </w:rPr>
        <w:t xml:space="preserve"> di Salerno, Salerno, Italy</w:t>
      </w:r>
    </w:p>
    <w:p w:rsidR="000450E2" w:rsidRPr="00725E72" w:rsidRDefault="000450E2" w:rsidP="004C0F1F">
      <w:pPr>
        <w:spacing w:after="0"/>
        <w:ind w:left="284" w:hanging="284"/>
        <w:rPr>
          <w:rFonts w:cs="Arial"/>
          <w:sz w:val="24"/>
          <w:szCs w:val="24"/>
        </w:rPr>
      </w:pPr>
      <w:proofErr w:type="spellStart"/>
      <w:r w:rsidRPr="00725E72">
        <w:rPr>
          <w:rFonts w:cs="Arial"/>
          <w:sz w:val="24"/>
          <w:szCs w:val="24"/>
        </w:rPr>
        <w:t>Raed</w:t>
      </w:r>
      <w:proofErr w:type="spellEnd"/>
      <w:r w:rsidRPr="00725E72">
        <w:rPr>
          <w:rFonts w:cs="Arial"/>
          <w:sz w:val="24"/>
          <w:szCs w:val="24"/>
        </w:rPr>
        <w:t xml:space="preserve"> </w:t>
      </w:r>
      <w:proofErr w:type="spellStart"/>
      <w:r w:rsidRPr="00725E72">
        <w:rPr>
          <w:rFonts w:cs="Arial"/>
          <w:sz w:val="24"/>
          <w:szCs w:val="24"/>
        </w:rPr>
        <w:t>Alroughani</w:t>
      </w:r>
      <w:proofErr w:type="spellEnd"/>
      <w:r w:rsidRPr="00725E72">
        <w:rPr>
          <w:rFonts w:cs="Arial"/>
          <w:sz w:val="24"/>
          <w:szCs w:val="24"/>
        </w:rPr>
        <w:t xml:space="preserve">; </w:t>
      </w:r>
      <w:proofErr w:type="spellStart"/>
      <w:r w:rsidRPr="00725E72">
        <w:rPr>
          <w:rFonts w:cs="Arial"/>
          <w:sz w:val="24"/>
          <w:szCs w:val="24"/>
        </w:rPr>
        <w:t>Amiri</w:t>
      </w:r>
      <w:proofErr w:type="spellEnd"/>
      <w:r w:rsidRPr="00725E72">
        <w:rPr>
          <w:rFonts w:cs="Arial"/>
          <w:sz w:val="24"/>
          <w:szCs w:val="24"/>
        </w:rPr>
        <w:t xml:space="preserve"> Hospital, Kuwait City, Kuwait</w:t>
      </w:r>
    </w:p>
    <w:p w:rsidR="000450E2" w:rsidRPr="00725E72" w:rsidRDefault="000450E2" w:rsidP="004C0F1F">
      <w:pPr>
        <w:spacing w:after="0"/>
        <w:ind w:left="284" w:hanging="284"/>
        <w:rPr>
          <w:rFonts w:cs="Arial"/>
          <w:sz w:val="24"/>
          <w:szCs w:val="24"/>
        </w:rPr>
      </w:pPr>
      <w:r w:rsidRPr="00725E72">
        <w:rPr>
          <w:rFonts w:cs="Arial"/>
          <w:sz w:val="24"/>
          <w:szCs w:val="24"/>
        </w:rPr>
        <w:t xml:space="preserve">Vincent Van </w:t>
      </w:r>
      <w:proofErr w:type="spellStart"/>
      <w:r w:rsidRPr="00725E72">
        <w:rPr>
          <w:rFonts w:cs="Arial"/>
          <w:sz w:val="24"/>
          <w:szCs w:val="24"/>
        </w:rPr>
        <w:t>Pesch</w:t>
      </w:r>
      <w:proofErr w:type="spellEnd"/>
      <w:r w:rsidRPr="00725E72">
        <w:rPr>
          <w:rFonts w:cs="Arial"/>
          <w:sz w:val="24"/>
          <w:szCs w:val="24"/>
        </w:rPr>
        <w:t xml:space="preserve">; </w:t>
      </w:r>
      <w:proofErr w:type="spellStart"/>
      <w:r w:rsidRPr="00725E72">
        <w:rPr>
          <w:rFonts w:cs="Arial"/>
          <w:sz w:val="24"/>
          <w:szCs w:val="24"/>
        </w:rPr>
        <w:t>Cliniques</w:t>
      </w:r>
      <w:proofErr w:type="spellEnd"/>
      <w:r w:rsidRPr="00725E72">
        <w:rPr>
          <w:rFonts w:cs="Arial"/>
          <w:sz w:val="24"/>
          <w:szCs w:val="24"/>
        </w:rPr>
        <w:t xml:space="preserve"> </w:t>
      </w:r>
      <w:proofErr w:type="spellStart"/>
      <w:r w:rsidRPr="00725E72">
        <w:rPr>
          <w:rFonts w:cs="Arial"/>
          <w:sz w:val="24"/>
          <w:szCs w:val="24"/>
        </w:rPr>
        <w:t>Universitaires</w:t>
      </w:r>
      <w:proofErr w:type="spellEnd"/>
      <w:r w:rsidRPr="00725E72">
        <w:rPr>
          <w:rFonts w:cs="Arial"/>
          <w:sz w:val="24"/>
          <w:szCs w:val="24"/>
        </w:rPr>
        <w:t xml:space="preserve"> Saint-Luc, Brussels, Belgium</w:t>
      </w:r>
    </w:p>
    <w:p w:rsidR="000450E2" w:rsidRPr="00725E72" w:rsidRDefault="000450E2" w:rsidP="004C0F1F">
      <w:pPr>
        <w:spacing w:after="0"/>
        <w:ind w:left="284" w:hanging="284"/>
        <w:rPr>
          <w:rFonts w:cs="Arial"/>
          <w:sz w:val="24"/>
          <w:szCs w:val="24"/>
        </w:rPr>
      </w:pPr>
      <w:r w:rsidRPr="00725E72">
        <w:rPr>
          <w:rFonts w:cs="Arial"/>
          <w:sz w:val="24"/>
          <w:szCs w:val="24"/>
        </w:rPr>
        <w:t>Maria Pia Amato; Department NEUROFARBA, Section of Neurosciences, University of Florence, Florence, Italy</w:t>
      </w:r>
    </w:p>
    <w:p w:rsidR="000450E2" w:rsidRPr="00725E72" w:rsidRDefault="000450E2" w:rsidP="004C0F1F">
      <w:pPr>
        <w:spacing w:after="0"/>
        <w:ind w:left="284" w:hanging="284"/>
        <w:rPr>
          <w:rFonts w:cs="Arial"/>
          <w:sz w:val="24"/>
          <w:szCs w:val="24"/>
        </w:rPr>
      </w:pPr>
      <w:r w:rsidRPr="00725E72">
        <w:rPr>
          <w:rFonts w:cs="Arial"/>
          <w:sz w:val="24"/>
          <w:szCs w:val="24"/>
        </w:rPr>
        <w:t xml:space="preserve">Mark </w:t>
      </w:r>
      <w:proofErr w:type="spellStart"/>
      <w:r w:rsidRPr="00725E72">
        <w:rPr>
          <w:rFonts w:cs="Arial"/>
          <w:sz w:val="24"/>
          <w:szCs w:val="24"/>
        </w:rPr>
        <w:t>Slee</w:t>
      </w:r>
      <w:proofErr w:type="spellEnd"/>
      <w:r w:rsidRPr="00725E72">
        <w:rPr>
          <w:rFonts w:cs="Arial"/>
          <w:sz w:val="24"/>
          <w:szCs w:val="24"/>
        </w:rPr>
        <w:t>; Flinders University and Medical Centre, Adelaide, Australia</w:t>
      </w:r>
    </w:p>
    <w:p w:rsidR="000450E2" w:rsidRPr="00725E72" w:rsidRDefault="000450E2" w:rsidP="004C0F1F">
      <w:pPr>
        <w:spacing w:after="0"/>
        <w:ind w:left="284" w:hanging="284"/>
        <w:rPr>
          <w:rFonts w:cs="Arial"/>
          <w:sz w:val="24"/>
          <w:szCs w:val="24"/>
        </w:rPr>
      </w:pPr>
      <w:proofErr w:type="spellStart"/>
      <w:r w:rsidRPr="00725E72">
        <w:rPr>
          <w:rFonts w:cs="Arial"/>
          <w:sz w:val="24"/>
          <w:szCs w:val="24"/>
        </w:rPr>
        <w:t>Freek</w:t>
      </w:r>
      <w:proofErr w:type="spellEnd"/>
      <w:r w:rsidRPr="00725E72">
        <w:rPr>
          <w:rFonts w:cs="Arial"/>
          <w:sz w:val="24"/>
          <w:szCs w:val="24"/>
        </w:rPr>
        <w:t xml:space="preserve"> </w:t>
      </w:r>
      <w:proofErr w:type="spellStart"/>
      <w:r w:rsidRPr="00725E72">
        <w:rPr>
          <w:rFonts w:cs="Arial"/>
          <w:sz w:val="24"/>
          <w:szCs w:val="24"/>
        </w:rPr>
        <w:t>Verheul</w:t>
      </w:r>
      <w:proofErr w:type="spellEnd"/>
      <w:r w:rsidRPr="00725E72">
        <w:rPr>
          <w:rFonts w:cs="Arial"/>
          <w:sz w:val="24"/>
          <w:szCs w:val="24"/>
        </w:rPr>
        <w:t xml:space="preserve">; </w:t>
      </w:r>
      <w:proofErr w:type="spellStart"/>
      <w:r w:rsidRPr="00725E72">
        <w:rPr>
          <w:rFonts w:cs="Arial"/>
          <w:sz w:val="24"/>
          <w:szCs w:val="24"/>
        </w:rPr>
        <w:t>Groen</w:t>
      </w:r>
      <w:proofErr w:type="spellEnd"/>
      <w:r w:rsidRPr="00725E72">
        <w:rPr>
          <w:rFonts w:cs="Arial"/>
          <w:sz w:val="24"/>
          <w:szCs w:val="24"/>
        </w:rPr>
        <w:t xml:space="preserve"> Hart </w:t>
      </w:r>
      <w:proofErr w:type="spellStart"/>
      <w:r w:rsidRPr="00725E72">
        <w:rPr>
          <w:rFonts w:cs="Arial"/>
          <w:sz w:val="24"/>
          <w:szCs w:val="24"/>
        </w:rPr>
        <w:t>Ziekenhuis</w:t>
      </w:r>
      <w:proofErr w:type="spellEnd"/>
      <w:r w:rsidRPr="00725E72">
        <w:rPr>
          <w:rFonts w:cs="Arial"/>
          <w:sz w:val="24"/>
          <w:szCs w:val="24"/>
        </w:rPr>
        <w:t xml:space="preserve">, Gouda, </w:t>
      </w:r>
      <w:proofErr w:type="gramStart"/>
      <w:r w:rsidRPr="00725E72">
        <w:rPr>
          <w:rFonts w:cs="Arial"/>
          <w:sz w:val="24"/>
          <w:szCs w:val="24"/>
        </w:rPr>
        <w:t>The</w:t>
      </w:r>
      <w:proofErr w:type="gramEnd"/>
      <w:r w:rsidRPr="00725E72">
        <w:rPr>
          <w:rFonts w:cs="Arial"/>
          <w:sz w:val="24"/>
          <w:szCs w:val="24"/>
        </w:rPr>
        <w:t xml:space="preserve"> Netherlands</w:t>
      </w:r>
    </w:p>
    <w:p w:rsidR="000450E2" w:rsidRPr="00725E72" w:rsidRDefault="000450E2" w:rsidP="004C0F1F">
      <w:pPr>
        <w:spacing w:after="0"/>
        <w:ind w:left="284" w:hanging="284"/>
        <w:rPr>
          <w:rFonts w:cs="Arial"/>
          <w:sz w:val="24"/>
          <w:szCs w:val="24"/>
        </w:rPr>
      </w:pPr>
      <w:r w:rsidRPr="00725E72">
        <w:rPr>
          <w:rFonts w:cs="Arial"/>
          <w:sz w:val="24"/>
          <w:szCs w:val="24"/>
        </w:rPr>
        <w:t>Ricardo Fernandez-</w:t>
      </w:r>
      <w:proofErr w:type="spellStart"/>
      <w:r w:rsidRPr="00725E72">
        <w:rPr>
          <w:rFonts w:cs="Arial"/>
          <w:sz w:val="24"/>
          <w:szCs w:val="24"/>
        </w:rPr>
        <w:t>Bolanos</w:t>
      </w:r>
      <w:proofErr w:type="spellEnd"/>
      <w:r w:rsidRPr="00725E72">
        <w:rPr>
          <w:rFonts w:cs="Arial"/>
          <w:sz w:val="24"/>
          <w:szCs w:val="24"/>
        </w:rPr>
        <w:t xml:space="preserve">; Hospital </w:t>
      </w:r>
      <w:proofErr w:type="spellStart"/>
      <w:r w:rsidRPr="00725E72">
        <w:rPr>
          <w:rFonts w:cs="Arial"/>
          <w:sz w:val="24"/>
          <w:szCs w:val="24"/>
        </w:rPr>
        <w:t>Universitario</w:t>
      </w:r>
      <w:proofErr w:type="spellEnd"/>
      <w:r w:rsidRPr="00725E72">
        <w:rPr>
          <w:rFonts w:cs="Arial"/>
          <w:sz w:val="24"/>
          <w:szCs w:val="24"/>
        </w:rPr>
        <w:t xml:space="preserve"> </w:t>
      </w:r>
      <w:proofErr w:type="spellStart"/>
      <w:r w:rsidRPr="00725E72">
        <w:rPr>
          <w:rFonts w:cs="Arial"/>
          <w:sz w:val="24"/>
          <w:szCs w:val="24"/>
        </w:rPr>
        <w:t>Virgen</w:t>
      </w:r>
      <w:proofErr w:type="spellEnd"/>
      <w:r w:rsidRPr="00725E72">
        <w:rPr>
          <w:rFonts w:cs="Arial"/>
          <w:sz w:val="24"/>
          <w:szCs w:val="24"/>
        </w:rPr>
        <w:t xml:space="preserve"> de </w:t>
      </w:r>
      <w:proofErr w:type="spellStart"/>
      <w:r w:rsidRPr="00725E72">
        <w:rPr>
          <w:rFonts w:cs="Arial"/>
          <w:sz w:val="24"/>
          <w:szCs w:val="24"/>
        </w:rPr>
        <w:t>Valme</w:t>
      </w:r>
      <w:proofErr w:type="spellEnd"/>
      <w:r w:rsidRPr="00725E72">
        <w:rPr>
          <w:rFonts w:cs="Arial"/>
          <w:sz w:val="24"/>
          <w:szCs w:val="24"/>
        </w:rPr>
        <w:t>, Seville, Spain</w:t>
      </w:r>
    </w:p>
    <w:p w:rsidR="000450E2" w:rsidRPr="00725E72" w:rsidRDefault="000450E2" w:rsidP="004C0F1F">
      <w:pPr>
        <w:spacing w:after="0"/>
        <w:ind w:left="284" w:hanging="284"/>
        <w:rPr>
          <w:rFonts w:cs="Arial"/>
          <w:sz w:val="24"/>
          <w:szCs w:val="24"/>
        </w:rPr>
      </w:pPr>
      <w:r w:rsidRPr="00725E72">
        <w:rPr>
          <w:rFonts w:cs="Arial"/>
          <w:sz w:val="24"/>
          <w:szCs w:val="24"/>
        </w:rPr>
        <w:t xml:space="preserve">Marcela </w:t>
      </w:r>
      <w:proofErr w:type="spellStart"/>
      <w:r w:rsidRPr="00725E72">
        <w:rPr>
          <w:rFonts w:cs="Arial"/>
          <w:sz w:val="24"/>
          <w:szCs w:val="24"/>
        </w:rPr>
        <w:t>Fiol</w:t>
      </w:r>
      <w:proofErr w:type="spellEnd"/>
      <w:r w:rsidRPr="00725E72">
        <w:rPr>
          <w:rFonts w:cs="Arial"/>
          <w:sz w:val="24"/>
          <w:szCs w:val="24"/>
        </w:rPr>
        <w:t>; FLENI, Buenos Aires, Argentina</w:t>
      </w:r>
    </w:p>
    <w:p w:rsidR="000450E2" w:rsidRPr="00725E72" w:rsidRDefault="000450E2" w:rsidP="004C0F1F">
      <w:pPr>
        <w:spacing w:after="0"/>
        <w:ind w:left="284" w:hanging="284"/>
        <w:rPr>
          <w:rFonts w:cs="Arial"/>
          <w:sz w:val="24"/>
          <w:szCs w:val="24"/>
        </w:rPr>
      </w:pPr>
      <w:r w:rsidRPr="00725E72">
        <w:rPr>
          <w:rFonts w:cs="Arial"/>
          <w:sz w:val="24"/>
          <w:szCs w:val="24"/>
        </w:rPr>
        <w:t xml:space="preserve">Daniele La </w:t>
      </w:r>
      <w:proofErr w:type="spellStart"/>
      <w:r w:rsidRPr="00725E72">
        <w:rPr>
          <w:rFonts w:cs="Arial"/>
          <w:sz w:val="24"/>
          <w:szCs w:val="24"/>
        </w:rPr>
        <w:t>Spitaleri</w:t>
      </w:r>
      <w:proofErr w:type="spellEnd"/>
      <w:r w:rsidRPr="00725E72">
        <w:rPr>
          <w:rFonts w:cs="Arial"/>
          <w:sz w:val="24"/>
          <w:szCs w:val="24"/>
        </w:rPr>
        <w:t xml:space="preserve">; AORN San Giuseppe </w:t>
      </w:r>
      <w:proofErr w:type="spellStart"/>
      <w:r w:rsidRPr="00725E72">
        <w:rPr>
          <w:rFonts w:cs="Arial"/>
          <w:sz w:val="24"/>
          <w:szCs w:val="24"/>
        </w:rPr>
        <w:t>Moscati</w:t>
      </w:r>
      <w:proofErr w:type="spellEnd"/>
      <w:r w:rsidRPr="00725E72">
        <w:rPr>
          <w:rFonts w:cs="Arial"/>
          <w:sz w:val="24"/>
          <w:szCs w:val="24"/>
        </w:rPr>
        <w:t>, Avellino, Italy</w:t>
      </w:r>
    </w:p>
    <w:p w:rsidR="000450E2" w:rsidRPr="00725E72" w:rsidRDefault="000450E2" w:rsidP="004C0F1F">
      <w:pPr>
        <w:spacing w:after="0"/>
        <w:ind w:left="284" w:hanging="284"/>
        <w:rPr>
          <w:rFonts w:cs="Arial"/>
          <w:sz w:val="24"/>
          <w:szCs w:val="24"/>
        </w:rPr>
      </w:pPr>
      <w:r w:rsidRPr="00725E72">
        <w:rPr>
          <w:rFonts w:cs="Arial"/>
          <w:sz w:val="24"/>
          <w:szCs w:val="24"/>
        </w:rPr>
        <w:t xml:space="preserve">Edgardo Cristiano; Hospital </w:t>
      </w:r>
      <w:proofErr w:type="spellStart"/>
      <w:r w:rsidRPr="00725E72">
        <w:rPr>
          <w:rFonts w:cs="Arial"/>
          <w:sz w:val="24"/>
          <w:szCs w:val="24"/>
        </w:rPr>
        <w:t>Italiano</w:t>
      </w:r>
      <w:proofErr w:type="spellEnd"/>
      <w:r w:rsidRPr="00725E72">
        <w:rPr>
          <w:rFonts w:cs="Arial"/>
          <w:sz w:val="24"/>
          <w:szCs w:val="24"/>
        </w:rPr>
        <w:t>, Buenos Aires, Argentina</w:t>
      </w:r>
    </w:p>
    <w:p w:rsidR="000450E2" w:rsidRPr="00725E72" w:rsidRDefault="000450E2" w:rsidP="004C0F1F">
      <w:pPr>
        <w:spacing w:after="0"/>
        <w:ind w:left="284" w:hanging="284"/>
        <w:rPr>
          <w:rFonts w:cs="Arial"/>
          <w:sz w:val="24"/>
          <w:szCs w:val="24"/>
        </w:rPr>
      </w:pPr>
      <w:r w:rsidRPr="00725E72">
        <w:rPr>
          <w:rFonts w:cs="Arial"/>
          <w:sz w:val="24"/>
          <w:szCs w:val="24"/>
        </w:rPr>
        <w:t xml:space="preserve">Orla </w:t>
      </w:r>
      <w:proofErr w:type="spellStart"/>
      <w:r w:rsidRPr="00725E72">
        <w:rPr>
          <w:rFonts w:cs="Arial"/>
          <w:sz w:val="24"/>
          <w:szCs w:val="24"/>
        </w:rPr>
        <w:t>Gray</w:t>
      </w:r>
      <w:proofErr w:type="spellEnd"/>
      <w:r w:rsidRPr="00725E72">
        <w:rPr>
          <w:rFonts w:cs="Arial"/>
          <w:sz w:val="24"/>
          <w:szCs w:val="24"/>
        </w:rPr>
        <w:t xml:space="preserve">; Craigavon Area Hospital, </w:t>
      </w:r>
      <w:proofErr w:type="spellStart"/>
      <w:r w:rsidRPr="00725E72">
        <w:rPr>
          <w:rFonts w:cs="Arial"/>
          <w:sz w:val="24"/>
          <w:szCs w:val="24"/>
        </w:rPr>
        <w:t>Portadown</w:t>
      </w:r>
      <w:proofErr w:type="spellEnd"/>
      <w:r w:rsidRPr="00725E72">
        <w:rPr>
          <w:rFonts w:cs="Arial"/>
          <w:sz w:val="24"/>
          <w:szCs w:val="24"/>
        </w:rPr>
        <w:t>, UK</w:t>
      </w:r>
    </w:p>
    <w:p w:rsidR="000450E2" w:rsidRPr="00725E72" w:rsidRDefault="000450E2" w:rsidP="004C0F1F">
      <w:pPr>
        <w:spacing w:after="0"/>
        <w:ind w:left="284" w:hanging="284"/>
        <w:rPr>
          <w:rFonts w:cs="Arial"/>
          <w:sz w:val="24"/>
          <w:szCs w:val="24"/>
        </w:rPr>
      </w:pPr>
      <w:r w:rsidRPr="00725E72">
        <w:rPr>
          <w:rFonts w:cs="Arial"/>
          <w:sz w:val="24"/>
          <w:szCs w:val="24"/>
        </w:rPr>
        <w:t xml:space="preserve">Jose Antonio Cabrera-Gomez; Centro </w:t>
      </w:r>
      <w:proofErr w:type="spellStart"/>
      <w:r w:rsidRPr="00725E72">
        <w:rPr>
          <w:rFonts w:cs="Arial"/>
          <w:sz w:val="24"/>
          <w:szCs w:val="24"/>
        </w:rPr>
        <w:t>Internacional</w:t>
      </w:r>
      <w:proofErr w:type="spellEnd"/>
      <w:r w:rsidRPr="00725E72">
        <w:rPr>
          <w:rFonts w:cs="Arial"/>
          <w:sz w:val="24"/>
          <w:szCs w:val="24"/>
        </w:rPr>
        <w:t xml:space="preserve"> de </w:t>
      </w:r>
      <w:proofErr w:type="spellStart"/>
      <w:r w:rsidRPr="00725E72">
        <w:rPr>
          <w:rFonts w:cs="Arial"/>
          <w:sz w:val="24"/>
          <w:szCs w:val="24"/>
        </w:rPr>
        <w:t>Restauracion</w:t>
      </w:r>
      <w:proofErr w:type="spellEnd"/>
      <w:r w:rsidRPr="00725E72">
        <w:rPr>
          <w:rFonts w:cs="Arial"/>
          <w:sz w:val="24"/>
          <w:szCs w:val="24"/>
        </w:rPr>
        <w:t xml:space="preserve"> </w:t>
      </w:r>
      <w:proofErr w:type="spellStart"/>
      <w:r w:rsidRPr="00725E72">
        <w:rPr>
          <w:rFonts w:cs="Arial"/>
          <w:sz w:val="24"/>
          <w:szCs w:val="24"/>
        </w:rPr>
        <w:t>Neurologica</w:t>
      </w:r>
      <w:proofErr w:type="spellEnd"/>
      <w:r w:rsidRPr="00725E72">
        <w:rPr>
          <w:rFonts w:cs="Arial"/>
          <w:sz w:val="24"/>
          <w:szCs w:val="24"/>
        </w:rPr>
        <w:t>, Havana, Cuba</w:t>
      </w:r>
    </w:p>
    <w:p w:rsidR="000450E2" w:rsidRPr="00725E72" w:rsidRDefault="000450E2" w:rsidP="004C0F1F">
      <w:pPr>
        <w:spacing w:after="0"/>
        <w:ind w:left="284" w:hanging="284"/>
        <w:rPr>
          <w:rFonts w:cs="Arial"/>
          <w:sz w:val="24"/>
          <w:szCs w:val="24"/>
        </w:rPr>
      </w:pPr>
      <w:proofErr w:type="spellStart"/>
      <w:r w:rsidRPr="00725E72">
        <w:rPr>
          <w:rFonts w:cs="Arial"/>
          <w:sz w:val="24"/>
          <w:szCs w:val="24"/>
        </w:rPr>
        <w:t>Vahid</w:t>
      </w:r>
      <w:proofErr w:type="spellEnd"/>
      <w:r w:rsidRPr="00725E72">
        <w:rPr>
          <w:rFonts w:cs="Arial"/>
          <w:sz w:val="24"/>
          <w:szCs w:val="24"/>
        </w:rPr>
        <w:t xml:space="preserve"> </w:t>
      </w:r>
      <w:proofErr w:type="spellStart"/>
      <w:r w:rsidRPr="00725E72">
        <w:rPr>
          <w:rFonts w:cs="Arial"/>
          <w:sz w:val="24"/>
          <w:szCs w:val="24"/>
        </w:rPr>
        <w:t>Shaygannejad</w:t>
      </w:r>
      <w:proofErr w:type="spellEnd"/>
      <w:r w:rsidRPr="00725E72">
        <w:rPr>
          <w:rFonts w:cs="Arial"/>
          <w:sz w:val="24"/>
          <w:szCs w:val="24"/>
        </w:rPr>
        <w:t>; Al-Zahra Hospital, Isfahan University of Medical Sciences, Isfahan, Iran</w:t>
      </w:r>
    </w:p>
    <w:p w:rsidR="000450E2" w:rsidRPr="00725E72" w:rsidRDefault="000450E2" w:rsidP="004C0F1F">
      <w:pPr>
        <w:spacing w:after="0"/>
        <w:ind w:left="284" w:hanging="284"/>
        <w:rPr>
          <w:rFonts w:cs="Arial"/>
          <w:sz w:val="24"/>
          <w:szCs w:val="24"/>
        </w:rPr>
      </w:pPr>
      <w:r w:rsidRPr="00725E72">
        <w:rPr>
          <w:rFonts w:cs="Arial"/>
          <w:sz w:val="24"/>
          <w:szCs w:val="24"/>
        </w:rPr>
        <w:t>Joseph Herbert; New York University Hospital for Joint Diseases, New York, USA</w:t>
      </w:r>
    </w:p>
    <w:p w:rsidR="000450E2" w:rsidRPr="00725E72" w:rsidRDefault="000450E2" w:rsidP="004C0F1F">
      <w:pPr>
        <w:spacing w:after="0"/>
        <w:ind w:left="284" w:hanging="284"/>
        <w:rPr>
          <w:rFonts w:cs="Arial"/>
          <w:sz w:val="24"/>
          <w:szCs w:val="24"/>
        </w:rPr>
      </w:pPr>
      <w:r w:rsidRPr="00725E72">
        <w:rPr>
          <w:rFonts w:cs="Arial"/>
          <w:sz w:val="24"/>
          <w:szCs w:val="24"/>
        </w:rPr>
        <w:t xml:space="preserve">Steve </w:t>
      </w:r>
      <w:proofErr w:type="spellStart"/>
      <w:r w:rsidRPr="00725E72">
        <w:rPr>
          <w:rFonts w:cs="Arial"/>
          <w:sz w:val="24"/>
          <w:szCs w:val="24"/>
        </w:rPr>
        <w:t>Vucic</w:t>
      </w:r>
      <w:proofErr w:type="spellEnd"/>
      <w:r w:rsidRPr="00725E72">
        <w:rPr>
          <w:rFonts w:cs="Arial"/>
          <w:sz w:val="24"/>
          <w:szCs w:val="24"/>
        </w:rPr>
        <w:t>; Westmead Hospital, Sydney, Australia</w:t>
      </w:r>
    </w:p>
    <w:p w:rsidR="000450E2" w:rsidRPr="00725E72" w:rsidRDefault="000450E2" w:rsidP="004C0F1F">
      <w:pPr>
        <w:spacing w:after="0"/>
        <w:ind w:left="284" w:hanging="284"/>
        <w:rPr>
          <w:rFonts w:cs="Arial"/>
          <w:sz w:val="24"/>
          <w:szCs w:val="24"/>
        </w:rPr>
      </w:pPr>
      <w:r w:rsidRPr="00725E72">
        <w:rPr>
          <w:rFonts w:cs="Arial"/>
          <w:sz w:val="24"/>
          <w:szCs w:val="24"/>
        </w:rPr>
        <w:t>Merilee Needham; Royal North Shore Hospital, Sydney, Australia</w:t>
      </w:r>
    </w:p>
    <w:p w:rsidR="000450E2" w:rsidRPr="00725E72" w:rsidRDefault="000450E2" w:rsidP="004C0F1F">
      <w:pPr>
        <w:spacing w:after="0"/>
        <w:ind w:left="284" w:hanging="284"/>
        <w:rPr>
          <w:rFonts w:cs="Arial"/>
          <w:sz w:val="24"/>
          <w:szCs w:val="24"/>
        </w:rPr>
      </w:pPr>
      <w:proofErr w:type="spellStart"/>
      <w:r w:rsidRPr="00725E72">
        <w:rPr>
          <w:rFonts w:cs="Arial"/>
          <w:sz w:val="24"/>
          <w:szCs w:val="24"/>
        </w:rPr>
        <w:lastRenderedPageBreak/>
        <w:t>Tatjana</w:t>
      </w:r>
      <w:proofErr w:type="spellEnd"/>
      <w:r w:rsidRPr="00725E72">
        <w:rPr>
          <w:rFonts w:cs="Arial"/>
          <w:sz w:val="24"/>
          <w:szCs w:val="24"/>
        </w:rPr>
        <w:t xml:space="preserve"> </w:t>
      </w:r>
      <w:proofErr w:type="spellStart"/>
      <w:r w:rsidRPr="00725E72">
        <w:rPr>
          <w:rFonts w:cs="Arial"/>
          <w:sz w:val="24"/>
          <w:szCs w:val="24"/>
        </w:rPr>
        <w:t>Petkovska-Boskova</w:t>
      </w:r>
      <w:proofErr w:type="spellEnd"/>
      <w:r w:rsidRPr="00725E72">
        <w:rPr>
          <w:rFonts w:cs="Arial"/>
          <w:sz w:val="24"/>
          <w:szCs w:val="24"/>
        </w:rPr>
        <w:t xml:space="preserve">; Clinic of Neurology Clinical </w:t>
      </w:r>
      <w:proofErr w:type="spellStart"/>
      <w:r w:rsidRPr="00725E72">
        <w:rPr>
          <w:rFonts w:cs="Arial"/>
          <w:sz w:val="24"/>
          <w:szCs w:val="24"/>
        </w:rPr>
        <w:t>Center</w:t>
      </w:r>
      <w:proofErr w:type="spellEnd"/>
      <w:r w:rsidRPr="00725E72">
        <w:rPr>
          <w:rFonts w:cs="Arial"/>
          <w:sz w:val="24"/>
          <w:szCs w:val="24"/>
        </w:rPr>
        <w:t>, Skopje, Macedonia</w:t>
      </w:r>
    </w:p>
    <w:p w:rsidR="000450E2" w:rsidRPr="00725E72" w:rsidRDefault="000450E2" w:rsidP="004C0F1F">
      <w:pPr>
        <w:spacing w:after="0"/>
        <w:ind w:left="284" w:hanging="284"/>
        <w:rPr>
          <w:rFonts w:cs="Arial"/>
          <w:sz w:val="24"/>
          <w:szCs w:val="24"/>
        </w:rPr>
      </w:pPr>
      <w:r w:rsidRPr="00725E72">
        <w:rPr>
          <w:rFonts w:cs="Arial"/>
          <w:sz w:val="24"/>
          <w:szCs w:val="24"/>
        </w:rPr>
        <w:t>Carmen-</w:t>
      </w:r>
      <w:proofErr w:type="spellStart"/>
      <w:r w:rsidRPr="00725E72">
        <w:rPr>
          <w:rFonts w:cs="Arial"/>
          <w:sz w:val="24"/>
          <w:szCs w:val="24"/>
        </w:rPr>
        <w:t>Adella</w:t>
      </w:r>
      <w:proofErr w:type="spellEnd"/>
      <w:r w:rsidRPr="00725E72">
        <w:rPr>
          <w:rFonts w:cs="Arial"/>
          <w:sz w:val="24"/>
          <w:szCs w:val="24"/>
        </w:rPr>
        <w:t xml:space="preserve"> </w:t>
      </w:r>
      <w:proofErr w:type="spellStart"/>
      <w:r w:rsidRPr="00725E72">
        <w:rPr>
          <w:rFonts w:cs="Arial"/>
          <w:sz w:val="24"/>
          <w:szCs w:val="24"/>
        </w:rPr>
        <w:t>Sirbu</w:t>
      </w:r>
      <w:proofErr w:type="spellEnd"/>
      <w:r w:rsidRPr="00725E72">
        <w:rPr>
          <w:rFonts w:cs="Arial"/>
          <w:sz w:val="24"/>
          <w:szCs w:val="24"/>
        </w:rPr>
        <w:t>; Central Clinical Emergency Military Hospital, Bucharest, Romania</w:t>
      </w:r>
    </w:p>
    <w:p w:rsidR="000450E2" w:rsidRPr="00725E72" w:rsidRDefault="000450E2" w:rsidP="004C0F1F">
      <w:pPr>
        <w:spacing w:after="0"/>
        <w:ind w:left="284" w:hanging="284"/>
        <w:rPr>
          <w:rFonts w:cs="Arial"/>
          <w:sz w:val="24"/>
          <w:szCs w:val="24"/>
        </w:rPr>
      </w:pPr>
      <w:r w:rsidRPr="00725E72">
        <w:rPr>
          <w:rFonts w:cs="Arial"/>
          <w:sz w:val="24"/>
          <w:szCs w:val="24"/>
        </w:rPr>
        <w:t xml:space="preserve">Pierre </w:t>
      </w:r>
      <w:proofErr w:type="spellStart"/>
      <w:r w:rsidRPr="00725E72">
        <w:rPr>
          <w:rFonts w:cs="Arial"/>
          <w:sz w:val="24"/>
          <w:szCs w:val="24"/>
        </w:rPr>
        <w:t>Duquette</w:t>
      </w:r>
      <w:proofErr w:type="spellEnd"/>
      <w:r w:rsidRPr="00725E72">
        <w:rPr>
          <w:rFonts w:cs="Arial"/>
          <w:sz w:val="24"/>
          <w:szCs w:val="24"/>
        </w:rPr>
        <w:t xml:space="preserve">; </w:t>
      </w:r>
      <w:proofErr w:type="spellStart"/>
      <w:r w:rsidRPr="00725E72">
        <w:rPr>
          <w:rFonts w:cs="Arial"/>
          <w:sz w:val="24"/>
          <w:szCs w:val="24"/>
        </w:rPr>
        <w:t>Hôpital</w:t>
      </w:r>
      <w:proofErr w:type="spellEnd"/>
      <w:r w:rsidRPr="00725E72">
        <w:rPr>
          <w:rFonts w:cs="Arial"/>
          <w:sz w:val="24"/>
          <w:szCs w:val="24"/>
        </w:rPr>
        <w:t xml:space="preserve"> Notre Dame, Montreal, Canada</w:t>
      </w:r>
    </w:p>
    <w:p w:rsidR="000450E2" w:rsidRPr="00725E72" w:rsidRDefault="000450E2" w:rsidP="00124A25">
      <w:pPr>
        <w:spacing w:after="0"/>
        <w:ind w:left="284" w:hanging="284"/>
        <w:rPr>
          <w:rFonts w:cs="Arial"/>
          <w:sz w:val="24"/>
          <w:szCs w:val="24"/>
        </w:rPr>
      </w:pPr>
      <w:r w:rsidRPr="00725E72">
        <w:rPr>
          <w:rFonts w:cs="Arial"/>
          <w:sz w:val="24"/>
          <w:szCs w:val="24"/>
        </w:rPr>
        <w:t xml:space="preserve">Marc Girard; </w:t>
      </w:r>
      <w:proofErr w:type="spellStart"/>
      <w:r w:rsidRPr="00725E72">
        <w:rPr>
          <w:rFonts w:cs="Arial"/>
          <w:sz w:val="24"/>
          <w:szCs w:val="24"/>
        </w:rPr>
        <w:t>Hôpital</w:t>
      </w:r>
      <w:proofErr w:type="spellEnd"/>
      <w:r w:rsidRPr="00725E72">
        <w:rPr>
          <w:rFonts w:cs="Arial"/>
          <w:sz w:val="24"/>
          <w:szCs w:val="24"/>
        </w:rPr>
        <w:t xml:space="preserve"> Notre Dame, Montreal, Canada</w:t>
      </w:r>
    </w:p>
    <w:p w:rsidR="000450E2" w:rsidRPr="00725E72" w:rsidRDefault="000450E2" w:rsidP="004C0F1F">
      <w:pPr>
        <w:spacing w:after="0"/>
        <w:ind w:left="284" w:hanging="284"/>
        <w:rPr>
          <w:rFonts w:cs="Arial"/>
          <w:sz w:val="24"/>
          <w:szCs w:val="24"/>
        </w:rPr>
      </w:pPr>
      <w:r w:rsidRPr="00725E72">
        <w:rPr>
          <w:rFonts w:cs="Arial"/>
          <w:sz w:val="24"/>
          <w:szCs w:val="24"/>
        </w:rPr>
        <w:t xml:space="preserve">Pierre </w:t>
      </w:r>
      <w:proofErr w:type="spellStart"/>
      <w:r w:rsidRPr="00725E72">
        <w:rPr>
          <w:rFonts w:cs="Arial"/>
          <w:sz w:val="24"/>
          <w:szCs w:val="24"/>
        </w:rPr>
        <w:t>Grammond</w:t>
      </w:r>
      <w:proofErr w:type="spellEnd"/>
      <w:r w:rsidRPr="00725E72">
        <w:rPr>
          <w:rFonts w:cs="Arial"/>
          <w:sz w:val="24"/>
          <w:szCs w:val="24"/>
        </w:rPr>
        <w:t>; Hotel-</w:t>
      </w:r>
      <w:proofErr w:type="spellStart"/>
      <w:r w:rsidRPr="00725E72">
        <w:rPr>
          <w:rFonts w:cs="Arial"/>
          <w:sz w:val="24"/>
          <w:szCs w:val="24"/>
        </w:rPr>
        <w:t>Dieu</w:t>
      </w:r>
      <w:proofErr w:type="spellEnd"/>
      <w:r w:rsidRPr="00725E72">
        <w:rPr>
          <w:rFonts w:cs="Arial"/>
          <w:sz w:val="24"/>
          <w:szCs w:val="24"/>
        </w:rPr>
        <w:t xml:space="preserve"> de Levis, Quebec, Canada</w:t>
      </w:r>
    </w:p>
    <w:p w:rsidR="000450E2" w:rsidRPr="00725E72" w:rsidRDefault="000450E2" w:rsidP="004C0F1F">
      <w:pPr>
        <w:spacing w:after="0"/>
        <w:ind w:left="284" w:hanging="284"/>
        <w:rPr>
          <w:rFonts w:cs="Arial"/>
          <w:sz w:val="24"/>
          <w:szCs w:val="24"/>
        </w:rPr>
      </w:pPr>
      <w:proofErr w:type="spellStart"/>
      <w:r w:rsidRPr="00725E72">
        <w:rPr>
          <w:rFonts w:cs="Arial"/>
          <w:sz w:val="24"/>
          <w:szCs w:val="24"/>
        </w:rPr>
        <w:t>Cavit</w:t>
      </w:r>
      <w:proofErr w:type="spellEnd"/>
      <w:r w:rsidRPr="00725E72">
        <w:rPr>
          <w:rFonts w:cs="Arial"/>
          <w:sz w:val="24"/>
          <w:szCs w:val="24"/>
        </w:rPr>
        <w:t xml:space="preserve"> </w:t>
      </w:r>
      <w:proofErr w:type="spellStart"/>
      <w:r w:rsidRPr="00725E72">
        <w:rPr>
          <w:rFonts w:cs="Arial"/>
          <w:sz w:val="24"/>
          <w:szCs w:val="24"/>
        </w:rPr>
        <w:t>Boz</w:t>
      </w:r>
      <w:proofErr w:type="spellEnd"/>
      <w:r w:rsidRPr="00725E72">
        <w:rPr>
          <w:rFonts w:cs="Arial"/>
          <w:sz w:val="24"/>
          <w:szCs w:val="24"/>
        </w:rPr>
        <w:t xml:space="preserve">; </w:t>
      </w:r>
      <w:proofErr w:type="spellStart"/>
      <w:r w:rsidRPr="00725E72">
        <w:rPr>
          <w:rFonts w:cs="Arial"/>
          <w:sz w:val="24"/>
          <w:szCs w:val="24"/>
        </w:rPr>
        <w:t>Karadeniz</w:t>
      </w:r>
      <w:proofErr w:type="spellEnd"/>
      <w:r w:rsidRPr="00725E72">
        <w:rPr>
          <w:rFonts w:cs="Arial"/>
          <w:sz w:val="24"/>
          <w:szCs w:val="24"/>
        </w:rPr>
        <w:t xml:space="preserve"> Technical University, Trabzon, Turkey</w:t>
      </w:r>
    </w:p>
    <w:p w:rsidR="000450E2" w:rsidRPr="00725E72" w:rsidRDefault="000450E2" w:rsidP="004C0F1F">
      <w:pPr>
        <w:spacing w:after="0"/>
        <w:ind w:left="284" w:hanging="284"/>
        <w:rPr>
          <w:rFonts w:cs="Arial"/>
          <w:sz w:val="24"/>
          <w:szCs w:val="24"/>
          <w:lang w:val="sv-SE"/>
        </w:rPr>
      </w:pPr>
      <w:r w:rsidRPr="00725E72">
        <w:rPr>
          <w:rFonts w:cs="Arial"/>
          <w:sz w:val="24"/>
          <w:szCs w:val="24"/>
          <w:lang w:val="sv-SE"/>
        </w:rPr>
        <w:t>Giorgio Giuliani; Ospedale di Macerata, Macerata, Italy</w:t>
      </w:r>
    </w:p>
    <w:p w:rsidR="000450E2" w:rsidRPr="00725E72" w:rsidRDefault="000450E2" w:rsidP="004C0F1F">
      <w:pPr>
        <w:spacing w:after="0"/>
        <w:ind w:left="284" w:hanging="284"/>
        <w:rPr>
          <w:rFonts w:cs="Arial"/>
          <w:sz w:val="24"/>
          <w:szCs w:val="24"/>
        </w:rPr>
      </w:pPr>
      <w:r w:rsidRPr="00725E72">
        <w:rPr>
          <w:rFonts w:cs="Arial"/>
          <w:sz w:val="24"/>
          <w:szCs w:val="24"/>
        </w:rPr>
        <w:t xml:space="preserve">Maria </w:t>
      </w:r>
      <w:proofErr w:type="spellStart"/>
      <w:r w:rsidRPr="00725E72">
        <w:rPr>
          <w:rFonts w:cs="Arial"/>
          <w:sz w:val="24"/>
          <w:szCs w:val="24"/>
        </w:rPr>
        <w:t>Edite</w:t>
      </w:r>
      <w:proofErr w:type="spellEnd"/>
      <w:r w:rsidRPr="00725E72">
        <w:rPr>
          <w:rFonts w:cs="Arial"/>
          <w:sz w:val="24"/>
          <w:szCs w:val="24"/>
        </w:rPr>
        <w:t xml:space="preserve"> Rio; Hospital CUF, Porto, Portugal</w:t>
      </w:r>
    </w:p>
    <w:p w:rsidR="000450E2" w:rsidRPr="00725E72" w:rsidRDefault="000450E2" w:rsidP="004C0F1F">
      <w:pPr>
        <w:spacing w:after="0"/>
        <w:ind w:left="284" w:hanging="284"/>
        <w:rPr>
          <w:rFonts w:cs="Arial"/>
          <w:sz w:val="24"/>
          <w:szCs w:val="24"/>
        </w:rPr>
      </w:pPr>
      <w:r w:rsidRPr="00725E72">
        <w:rPr>
          <w:rFonts w:cs="Arial"/>
          <w:sz w:val="24"/>
          <w:szCs w:val="24"/>
        </w:rPr>
        <w:t>Michael Barnett; Brain and Mind Research Institute, Sydney, Australia</w:t>
      </w:r>
    </w:p>
    <w:p w:rsidR="000450E2" w:rsidRPr="00725E72" w:rsidRDefault="000450E2" w:rsidP="004C0F1F">
      <w:pPr>
        <w:spacing w:after="0"/>
        <w:ind w:left="284" w:hanging="284"/>
        <w:rPr>
          <w:rFonts w:cs="Arial"/>
          <w:sz w:val="24"/>
          <w:szCs w:val="24"/>
        </w:rPr>
      </w:pPr>
      <w:proofErr w:type="spellStart"/>
      <w:r w:rsidRPr="00725E72">
        <w:rPr>
          <w:rFonts w:cs="Arial"/>
          <w:sz w:val="24"/>
          <w:szCs w:val="24"/>
        </w:rPr>
        <w:t>Shlomo</w:t>
      </w:r>
      <w:proofErr w:type="spellEnd"/>
      <w:r w:rsidRPr="00725E72">
        <w:rPr>
          <w:rFonts w:cs="Arial"/>
          <w:sz w:val="24"/>
          <w:szCs w:val="24"/>
        </w:rPr>
        <w:t xml:space="preserve"> </w:t>
      </w:r>
      <w:proofErr w:type="spellStart"/>
      <w:r w:rsidRPr="00725E72">
        <w:rPr>
          <w:rFonts w:cs="Arial"/>
          <w:sz w:val="24"/>
          <w:szCs w:val="24"/>
        </w:rPr>
        <w:t>Flechter</w:t>
      </w:r>
      <w:proofErr w:type="spellEnd"/>
      <w:r w:rsidRPr="00725E72">
        <w:rPr>
          <w:rFonts w:cs="Arial"/>
          <w:sz w:val="24"/>
          <w:szCs w:val="24"/>
        </w:rPr>
        <w:t xml:space="preserve">; </w:t>
      </w:r>
      <w:proofErr w:type="spellStart"/>
      <w:r w:rsidRPr="00725E72">
        <w:rPr>
          <w:rFonts w:cs="Arial"/>
          <w:sz w:val="24"/>
          <w:szCs w:val="24"/>
        </w:rPr>
        <w:t>Assaf</w:t>
      </w:r>
      <w:proofErr w:type="spellEnd"/>
      <w:r w:rsidRPr="00725E72">
        <w:rPr>
          <w:rFonts w:cs="Arial"/>
          <w:sz w:val="24"/>
          <w:szCs w:val="24"/>
        </w:rPr>
        <w:t xml:space="preserve"> </w:t>
      </w:r>
      <w:proofErr w:type="spellStart"/>
      <w:r w:rsidRPr="00725E72">
        <w:rPr>
          <w:rFonts w:cs="Arial"/>
          <w:sz w:val="24"/>
          <w:szCs w:val="24"/>
        </w:rPr>
        <w:t>Harofeh</w:t>
      </w:r>
      <w:proofErr w:type="spellEnd"/>
      <w:r w:rsidRPr="00725E72">
        <w:rPr>
          <w:rFonts w:cs="Arial"/>
          <w:sz w:val="24"/>
          <w:szCs w:val="24"/>
        </w:rPr>
        <w:t xml:space="preserve"> Medical </w:t>
      </w:r>
      <w:proofErr w:type="spellStart"/>
      <w:r w:rsidRPr="00725E72">
        <w:rPr>
          <w:rFonts w:cs="Arial"/>
          <w:sz w:val="24"/>
          <w:szCs w:val="24"/>
        </w:rPr>
        <w:t>Center</w:t>
      </w:r>
      <w:proofErr w:type="spellEnd"/>
      <w:r w:rsidRPr="00725E72">
        <w:rPr>
          <w:rFonts w:cs="Arial"/>
          <w:sz w:val="24"/>
          <w:szCs w:val="24"/>
        </w:rPr>
        <w:t>, Beer-Yaakov, Israel</w:t>
      </w:r>
    </w:p>
    <w:p w:rsidR="000450E2" w:rsidRPr="00725E72" w:rsidRDefault="000450E2" w:rsidP="004C0F1F">
      <w:pPr>
        <w:spacing w:after="0"/>
        <w:ind w:left="284" w:hanging="284"/>
        <w:rPr>
          <w:rFonts w:cs="Arial"/>
          <w:sz w:val="24"/>
          <w:szCs w:val="24"/>
        </w:rPr>
      </w:pPr>
      <w:r w:rsidRPr="00725E72">
        <w:rPr>
          <w:rFonts w:cs="Arial"/>
          <w:sz w:val="24"/>
          <w:szCs w:val="24"/>
        </w:rPr>
        <w:t>Fraser Moore; Jewish General Hospital, Montreal, Canada</w:t>
      </w:r>
    </w:p>
    <w:p w:rsidR="000450E2" w:rsidRPr="00725E72" w:rsidRDefault="000450E2" w:rsidP="004C0F1F">
      <w:pPr>
        <w:spacing w:after="0"/>
        <w:ind w:left="284" w:hanging="284"/>
        <w:rPr>
          <w:rFonts w:cs="Arial"/>
          <w:sz w:val="24"/>
          <w:szCs w:val="24"/>
        </w:rPr>
      </w:pPr>
      <w:proofErr w:type="spellStart"/>
      <w:r w:rsidRPr="00725E72">
        <w:rPr>
          <w:rFonts w:cs="Arial"/>
          <w:sz w:val="24"/>
          <w:szCs w:val="24"/>
        </w:rPr>
        <w:t>Bhim</w:t>
      </w:r>
      <w:proofErr w:type="spellEnd"/>
      <w:r w:rsidRPr="00725E72">
        <w:rPr>
          <w:rFonts w:cs="Arial"/>
          <w:sz w:val="24"/>
          <w:szCs w:val="24"/>
        </w:rPr>
        <w:t xml:space="preserve"> </w:t>
      </w:r>
      <w:proofErr w:type="spellStart"/>
      <w:r w:rsidRPr="00725E72">
        <w:rPr>
          <w:rFonts w:cs="Arial"/>
          <w:sz w:val="24"/>
          <w:szCs w:val="24"/>
        </w:rPr>
        <w:t>Singhal</w:t>
      </w:r>
      <w:proofErr w:type="spellEnd"/>
      <w:r w:rsidRPr="00725E72">
        <w:rPr>
          <w:rFonts w:cs="Arial"/>
          <w:sz w:val="24"/>
          <w:szCs w:val="24"/>
        </w:rPr>
        <w:t>; Bombay Hospital Institute of Medical Sciences, Mumbai, India</w:t>
      </w:r>
    </w:p>
    <w:p w:rsidR="000450E2" w:rsidRPr="00725E72" w:rsidRDefault="000450E2" w:rsidP="004C0F1F">
      <w:pPr>
        <w:spacing w:after="0"/>
        <w:ind w:left="284" w:hanging="284"/>
        <w:rPr>
          <w:rFonts w:cs="Arial"/>
          <w:sz w:val="24"/>
          <w:szCs w:val="24"/>
        </w:rPr>
      </w:pPr>
      <w:r w:rsidRPr="00725E72">
        <w:rPr>
          <w:rFonts w:cs="Arial"/>
          <w:sz w:val="24"/>
          <w:szCs w:val="24"/>
        </w:rPr>
        <w:t xml:space="preserve">Elizabeth Alejandra </w:t>
      </w:r>
      <w:proofErr w:type="spellStart"/>
      <w:r w:rsidRPr="00725E72">
        <w:rPr>
          <w:rFonts w:cs="Arial"/>
          <w:sz w:val="24"/>
          <w:szCs w:val="24"/>
        </w:rPr>
        <w:t>Bacile</w:t>
      </w:r>
      <w:proofErr w:type="spellEnd"/>
      <w:r w:rsidRPr="00725E72">
        <w:rPr>
          <w:rFonts w:cs="Arial"/>
          <w:sz w:val="24"/>
          <w:szCs w:val="24"/>
        </w:rPr>
        <w:t xml:space="preserve">; </w:t>
      </w:r>
      <w:proofErr w:type="spellStart"/>
      <w:r w:rsidRPr="00725E72">
        <w:rPr>
          <w:rFonts w:cs="Arial"/>
          <w:sz w:val="24"/>
          <w:szCs w:val="24"/>
        </w:rPr>
        <w:t>Instituto</w:t>
      </w:r>
      <w:proofErr w:type="spellEnd"/>
      <w:r w:rsidRPr="00725E72">
        <w:rPr>
          <w:rFonts w:cs="Arial"/>
          <w:sz w:val="24"/>
          <w:szCs w:val="24"/>
        </w:rPr>
        <w:t xml:space="preserve"> de </w:t>
      </w:r>
      <w:proofErr w:type="spellStart"/>
      <w:r w:rsidRPr="00725E72">
        <w:rPr>
          <w:rFonts w:cs="Arial"/>
          <w:sz w:val="24"/>
          <w:szCs w:val="24"/>
        </w:rPr>
        <w:t>Neurociencias</w:t>
      </w:r>
      <w:proofErr w:type="spellEnd"/>
      <w:r w:rsidRPr="00725E72">
        <w:rPr>
          <w:rFonts w:cs="Arial"/>
          <w:sz w:val="24"/>
          <w:szCs w:val="24"/>
        </w:rPr>
        <w:t xml:space="preserve"> Cordoba, Cordoba, Argentina</w:t>
      </w:r>
    </w:p>
    <w:p w:rsidR="000450E2" w:rsidRPr="00725E72" w:rsidRDefault="000450E2" w:rsidP="004C0F1F">
      <w:pPr>
        <w:spacing w:after="0"/>
        <w:ind w:left="284" w:hanging="284"/>
        <w:rPr>
          <w:rFonts w:cs="Arial"/>
          <w:sz w:val="24"/>
          <w:szCs w:val="24"/>
        </w:rPr>
      </w:pPr>
      <w:r w:rsidRPr="00725E72">
        <w:rPr>
          <w:rFonts w:cs="Arial"/>
          <w:sz w:val="24"/>
          <w:szCs w:val="24"/>
        </w:rPr>
        <w:t xml:space="preserve">Maria Laura </w:t>
      </w:r>
      <w:proofErr w:type="spellStart"/>
      <w:r w:rsidRPr="00725E72">
        <w:rPr>
          <w:rFonts w:cs="Arial"/>
          <w:sz w:val="24"/>
          <w:szCs w:val="24"/>
        </w:rPr>
        <w:t>Saladino</w:t>
      </w:r>
      <w:proofErr w:type="spellEnd"/>
      <w:r w:rsidRPr="00725E72">
        <w:rPr>
          <w:rFonts w:cs="Arial"/>
          <w:sz w:val="24"/>
          <w:szCs w:val="24"/>
        </w:rPr>
        <w:t>; INEBA, Buenos Aires, Argentina</w:t>
      </w:r>
    </w:p>
    <w:p w:rsidR="000450E2" w:rsidRPr="00725E72" w:rsidRDefault="000450E2" w:rsidP="004C0F1F">
      <w:pPr>
        <w:spacing w:after="0"/>
        <w:rPr>
          <w:rFonts w:cs="Arial"/>
          <w:sz w:val="24"/>
          <w:szCs w:val="24"/>
        </w:rPr>
      </w:pPr>
      <w:r w:rsidRPr="00725E72">
        <w:rPr>
          <w:rFonts w:cs="Arial"/>
          <w:sz w:val="24"/>
          <w:szCs w:val="24"/>
        </w:rPr>
        <w:t>Cameron Shaw; Geelong Hospital, Geelong, Australia</w:t>
      </w:r>
    </w:p>
    <w:p w:rsidR="000450E2" w:rsidRPr="00725E72" w:rsidRDefault="000450E2" w:rsidP="004C0F1F">
      <w:pPr>
        <w:spacing w:after="0"/>
        <w:rPr>
          <w:rFonts w:cs="Arial"/>
          <w:sz w:val="24"/>
          <w:szCs w:val="24"/>
        </w:rPr>
      </w:pPr>
      <w:r w:rsidRPr="00725E72">
        <w:rPr>
          <w:rFonts w:cs="Arial"/>
          <w:sz w:val="24"/>
          <w:szCs w:val="24"/>
        </w:rPr>
        <w:t xml:space="preserve">Eli </w:t>
      </w:r>
      <w:proofErr w:type="spellStart"/>
      <w:r w:rsidRPr="00725E72">
        <w:rPr>
          <w:rFonts w:cs="Arial"/>
          <w:sz w:val="24"/>
          <w:szCs w:val="24"/>
        </w:rPr>
        <w:t>Skromne</w:t>
      </w:r>
      <w:proofErr w:type="spellEnd"/>
      <w:r w:rsidRPr="00725E72">
        <w:rPr>
          <w:rFonts w:cs="Arial"/>
          <w:sz w:val="24"/>
          <w:szCs w:val="24"/>
        </w:rPr>
        <w:t>; Hospital Angeles Mexico City, Lomas, Mexico</w:t>
      </w:r>
    </w:p>
    <w:p w:rsidR="005F0093" w:rsidRPr="00725E72" w:rsidRDefault="005F0093" w:rsidP="004C0F1F">
      <w:pPr>
        <w:spacing w:after="0"/>
        <w:ind w:left="284" w:hanging="284"/>
        <w:rPr>
          <w:rFonts w:cs="Arial"/>
          <w:sz w:val="24"/>
          <w:szCs w:val="24"/>
        </w:rPr>
      </w:pPr>
      <w:r w:rsidRPr="00725E72">
        <w:rPr>
          <w:rFonts w:cs="Arial"/>
          <w:sz w:val="24"/>
          <w:szCs w:val="24"/>
        </w:rPr>
        <w:t xml:space="preserve">Dieter </w:t>
      </w:r>
      <w:proofErr w:type="spellStart"/>
      <w:r w:rsidRPr="00725E72">
        <w:rPr>
          <w:rFonts w:cs="Arial"/>
          <w:sz w:val="24"/>
          <w:szCs w:val="24"/>
        </w:rPr>
        <w:t>Poehlau</w:t>
      </w:r>
      <w:proofErr w:type="spellEnd"/>
      <w:r w:rsidRPr="00725E72">
        <w:rPr>
          <w:rFonts w:cs="Arial"/>
          <w:sz w:val="24"/>
          <w:szCs w:val="24"/>
        </w:rPr>
        <w:t xml:space="preserve">; Multiple Sclerosis Centre </w:t>
      </w:r>
      <w:proofErr w:type="spellStart"/>
      <w:r w:rsidRPr="00725E72">
        <w:rPr>
          <w:rFonts w:cs="Arial"/>
          <w:sz w:val="24"/>
          <w:szCs w:val="24"/>
        </w:rPr>
        <w:t>Kamillus-Klinik</w:t>
      </w:r>
      <w:proofErr w:type="spellEnd"/>
      <w:r w:rsidRPr="00725E72">
        <w:rPr>
          <w:rFonts w:cs="Arial"/>
          <w:sz w:val="24"/>
          <w:szCs w:val="24"/>
        </w:rPr>
        <w:t xml:space="preserve">, </w:t>
      </w:r>
      <w:proofErr w:type="spellStart"/>
      <w:r w:rsidRPr="00725E72">
        <w:rPr>
          <w:rFonts w:cs="Arial"/>
          <w:sz w:val="24"/>
          <w:szCs w:val="24"/>
        </w:rPr>
        <w:t>Asbach</w:t>
      </w:r>
      <w:proofErr w:type="spellEnd"/>
      <w:r w:rsidRPr="00725E72">
        <w:rPr>
          <w:rFonts w:cs="Arial"/>
          <w:sz w:val="24"/>
          <w:szCs w:val="24"/>
        </w:rPr>
        <w:t>, Germany</w:t>
      </w:r>
    </w:p>
    <w:p w:rsidR="000450E2" w:rsidRPr="00725E72" w:rsidRDefault="000450E2" w:rsidP="004C0F1F">
      <w:pPr>
        <w:spacing w:after="0"/>
        <w:ind w:left="284" w:hanging="284"/>
        <w:rPr>
          <w:rFonts w:cs="Arial"/>
          <w:sz w:val="24"/>
          <w:szCs w:val="24"/>
          <w:lang w:val="sv-SE"/>
        </w:rPr>
      </w:pPr>
      <w:r w:rsidRPr="00725E72">
        <w:rPr>
          <w:rFonts w:cs="Arial"/>
          <w:sz w:val="24"/>
          <w:szCs w:val="24"/>
          <w:lang w:val="sv-SE"/>
        </w:rPr>
        <w:t>Norbert Vella; Mater Dei Hospital, Malta</w:t>
      </w:r>
    </w:p>
    <w:p w:rsidR="000450E2" w:rsidRPr="00725E72" w:rsidRDefault="000450E2" w:rsidP="004C0F1F">
      <w:pPr>
        <w:spacing w:after="0"/>
        <w:ind w:left="284" w:hanging="284"/>
        <w:rPr>
          <w:rFonts w:cs="Arial"/>
          <w:sz w:val="24"/>
          <w:szCs w:val="24"/>
        </w:rPr>
      </w:pPr>
      <w:r w:rsidRPr="00725E72">
        <w:rPr>
          <w:rFonts w:cs="Arial"/>
          <w:sz w:val="24"/>
          <w:szCs w:val="24"/>
        </w:rPr>
        <w:t>Timothy Spelman; Department of Neurology, Royal Melbourne Hospital, Melbourne, Australia</w:t>
      </w:r>
    </w:p>
    <w:p w:rsidR="000450E2" w:rsidRPr="00725E72" w:rsidRDefault="000450E2" w:rsidP="004C0F1F">
      <w:pPr>
        <w:spacing w:after="0"/>
        <w:ind w:left="284" w:hanging="284"/>
        <w:rPr>
          <w:rFonts w:cs="Arial"/>
          <w:sz w:val="24"/>
          <w:szCs w:val="24"/>
        </w:rPr>
      </w:pPr>
      <w:r w:rsidRPr="00725E72">
        <w:rPr>
          <w:rFonts w:cs="Arial"/>
          <w:sz w:val="24"/>
          <w:szCs w:val="24"/>
        </w:rPr>
        <w:t xml:space="preserve">Danny </w:t>
      </w:r>
      <w:proofErr w:type="spellStart"/>
      <w:r w:rsidRPr="00725E72">
        <w:rPr>
          <w:rFonts w:cs="Arial"/>
          <w:sz w:val="24"/>
          <w:szCs w:val="24"/>
        </w:rPr>
        <w:t>Liew</w:t>
      </w:r>
      <w:proofErr w:type="spellEnd"/>
      <w:r w:rsidRPr="00725E72">
        <w:rPr>
          <w:rFonts w:cs="Arial"/>
          <w:sz w:val="24"/>
          <w:szCs w:val="24"/>
        </w:rPr>
        <w:t xml:space="preserve">; Melbourne </w:t>
      </w:r>
      <w:proofErr w:type="spellStart"/>
      <w:r w:rsidRPr="00725E72">
        <w:rPr>
          <w:rFonts w:cs="Arial"/>
          <w:sz w:val="24"/>
          <w:szCs w:val="24"/>
        </w:rPr>
        <w:t>EpiCentre</w:t>
      </w:r>
      <w:proofErr w:type="spellEnd"/>
      <w:r w:rsidRPr="00725E72">
        <w:rPr>
          <w:rFonts w:cs="Arial"/>
          <w:sz w:val="24"/>
          <w:szCs w:val="24"/>
        </w:rPr>
        <w:t>, University of Melbourne and Melbourne Health, Melbourne, Australia</w:t>
      </w:r>
    </w:p>
    <w:p w:rsidR="000450E2" w:rsidRPr="00725E72" w:rsidRDefault="000450E2" w:rsidP="004C0F1F">
      <w:pPr>
        <w:spacing w:after="0"/>
        <w:ind w:left="284" w:hanging="284"/>
        <w:rPr>
          <w:rFonts w:cs="Arial"/>
          <w:sz w:val="24"/>
          <w:szCs w:val="24"/>
        </w:rPr>
      </w:pPr>
      <w:r w:rsidRPr="00725E72">
        <w:rPr>
          <w:rFonts w:cs="Arial"/>
          <w:sz w:val="24"/>
          <w:szCs w:val="24"/>
        </w:rPr>
        <w:t xml:space="preserve">Trevor J Kilpatrick*; Centre for Neuroscience Research and the Melbourne Neuroscience Institute, University of Melbourne, Melbourne, Australia; Department of Neurology, Royal Melbourne Hospital, Melbourne, Australia; </w:t>
      </w:r>
    </w:p>
    <w:p w:rsidR="000450E2" w:rsidRPr="00725E72" w:rsidRDefault="000450E2" w:rsidP="004C0F1F">
      <w:pPr>
        <w:spacing w:after="0"/>
        <w:ind w:left="284" w:hanging="284"/>
        <w:rPr>
          <w:rFonts w:cs="Arial"/>
          <w:sz w:val="24"/>
          <w:szCs w:val="24"/>
        </w:rPr>
      </w:pPr>
      <w:r w:rsidRPr="00725E72">
        <w:rPr>
          <w:rFonts w:cs="Arial"/>
          <w:sz w:val="24"/>
          <w:szCs w:val="24"/>
        </w:rPr>
        <w:t>Helmut Butzkueven*; Department of Medicine, University of Melbourne, Melbourne, Australia; Department of Neurology, Royal Melbourne Hospital, Melbourne, Australia; and Department of Neurology, Box Hill Hospital, Monash University, Box Hill, Australia</w:t>
      </w:r>
    </w:p>
    <w:p w:rsidR="000450E2" w:rsidRPr="00725E72" w:rsidRDefault="000450E2" w:rsidP="004C0F1F">
      <w:pPr>
        <w:spacing w:after="0"/>
        <w:rPr>
          <w:rFonts w:cs="Arial"/>
          <w:sz w:val="24"/>
          <w:szCs w:val="24"/>
        </w:rPr>
      </w:pPr>
      <w:proofErr w:type="gramStart"/>
      <w:r w:rsidRPr="00725E72">
        <w:rPr>
          <w:rFonts w:cs="Arial"/>
          <w:sz w:val="24"/>
          <w:szCs w:val="24"/>
        </w:rPr>
        <w:t>on</w:t>
      </w:r>
      <w:proofErr w:type="gramEnd"/>
      <w:r w:rsidRPr="00725E72">
        <w:rPr>
          <w:rFonts w:cs="Arial"/>
          <w:sz w:val="24"/>
          <w:szCs w:val="24"/>
        </w:rPr>
        <w:t xml:space="preserve"> behalf of the </w:t>
      </w:r>
      <w:proofErr w:type="spellStart"/>
      <w:r w:rsidRPr="00725E72">
        <w:rPr>
          <w:rFonts w:cs="Arial"/>
          <w:sz w:val="24"/>
          <w:szCs w:val="24"/>
        </w:rPr>
        <w:t>MSBase</w:t>
      </w:r>
      <w:proofErr w:type="spellEnd"/>
      <w:r w:rsidRPr="00725E72">
        <w:rPr>
          <w:rFonts w:cs="Arial"/>
          <w:sz w:val="24"/>
          <w:szCs w:val="24"/>
        </w:rPr>
        <w:t xml:space="preserve"> Study Group†</w:t>
      </w:r>
    </w:p>
    <w:p w:rsidR="000450E2" w:rsidRPr="00725E72" w:rsidRDefault="000450E2" w:rsidP="004C0F1F">
      <w:pPr>
        <w:spacing w:after="0"/>
        <w:rPr>
          <w:rFonts w:cs="Arial"/>
          <w:sz w:val="24"/>
          <w:szCs w:val="24"/>
        </w:rPr>
      </w:pPr>
    </w:p>
    <w:p w:rsidR="000450E2" w:rsidRPr="00725E72" w:rsidRDefault="000450E2" w:rsidP="004C0F1F">
      <w:pPr>
        <w:spacing w:after="0"/>
        <w:rPr>
          <w:rFonts w:cs="Arial"/>
          <w:sz w:val="24"/>
          <w:szCs w:val="24"/>
        </w:rPr>
      </w:pPr>
      <w:r w:rsidRPr="00725E72">
        <w:rPr>
          <w:rFonts w:cs="Arial"/>
          <w:sz w:val="24"/>
          <w:szCs w:val="24"/>
        </w:rPr>
        <w:t>*These authors contributed equally to the manuscript.</w:t>
      </w:r>
    </w:p>
    <w:p w:rsidR="000450E2" w:rsidRPr="00725E72" w:rsidRDefault="000450E2" w:rsidP="004C0F1F">
      <w:pPr>
        <w:spacing w:after="0"/>
        <w:rPr>
          <w:rFonts w:cs="Arial"/>
          <w:sz w:val="24"/>
          <w:szCs w:val="24"/>
        </w:rPr>
      </w:pPr>
      <w:r w:rsidRPr="00725E72">
        <w:rPr>
          <w:rFonts w:cs="Arial"/>
          <w:sz w:val="24"/>
          <w:szCs w:val="24"/>
        </w:rPr>
        <w:t xml:space="preserve">†Contributing members of the </w:t>
      </w:r>
      <w:proofErr w:type="spellStart"/>
      <w:r w:rsidRPr="00725E72">
        <w:rPr>
          <w:rFonts w:cs="Arial"/>
          <w:sz w:val="24"/>
          <w:szCs w:val="24"/>
        </w:rPr>
        <w:t>MSBase</w:t>
      </w:r>
      <w:proofErr w:type="spellEnd"/>
      <w:r w:rsidRPr="00725E72">
        <w:rPr>
          <w:rFonts w:cs="Arial"/>
          <w:sz w:val="24"/>
          <w:szCs w:val="24"/>
        </w:rPr>
        <w:t xml:space="preserve"> Study Group are listed in the Acknowledgements.</w:t>
      </w:r>
    </w:p>
    <w:p w:rsidR="000450E2" w:rsidRPr="00725E72" w:rsidRDefault="000450E2" w:rsidP="00A84980">
      <w:pPr>
        <w:spacing w:after="0"/>
        <w:rPr>
          <w:rFonts w:cs="Arial"/>
          <w:b/>
          <w:sz w:val="24"/>
          <w:szCs w:val="24"/>
        </w:rPr>
      </w:pPr>
    </w:p>
    <w:p w:rsidR="000450E2" w:rsidRPr="00725E72" w:rsidRDefault="000450E2" w:rsidP="00A84980">
      <w:pPr>
        <w:spacing w:after="0"/>
        <w:rPr>
          <w:rFonts w:cs="Arial"/>
          <w:b/>
          <w:sz w:val="24"/>
          <w:szCs w:val="24"/>
        </w:rPr>
      </w:pPr>
      <w:r w:rsidRPr="00725E72">
        <w:rPr>
          <w:rFonts w:cs="Arial"/>
          <w:b/>
          <w:sz w:val="24"/>
          <w:szCs w:val="24"/>
        </w:rPr>
        <w:t xml:space="preserve">Corresponding author: </w:t>
      </w:r>
      <w:r w:rsidRPr="00725E72">
        <w:rPr>
          <w:rFonts w:cs="Arial"/>
          <w:sz w:val="24"/>
          <w:szCs w:val="24"/>
        </w:rPr>
        <w:t>Tomas Kalincik; L4 Centre, Melbourne Brain Centre at Royal Melbourne Hospital, Grattan St, Parkville VIC 3050, Australia; Tel: +61 3 9342 4404, Fax: +61 3 9349 5997</w:t>
      </w:r>
    </w:p>
    <w:p w:rsidR="000450E2" w:rsidRPr="00725E72" w:rsidRDefault="000450E2" w:rsidP="00A84980">
      <w:pPr>
        <w:spacing w:after="0"/>
        <w:rPr>
          <w:rFonts w:cs="Arial"/>
          <w:b/>
          <w:sz w:val="24"/>
          <w:szCs w:val="24"/>
        </w:rPr>
      </w:pPr>
    </w:p>
    <w:p w:rsidR="000450E2" w:rsidRPr="00725E72" w:rsidRDefault="000450E2" w:rsidP="00A84980">
      <w:pPr>
        <w:spacing w:after="0"/>
        <w:rPr>
          <w:rFonts w:cs="Arial"/>
          <w:b/>
          <w:sz w:val="24"/>
          <w:szCs w:val="24"/>
        </w:rPr>
      </w:pPr>
      <w:r w:rsidRPr="00725E72">
        <w:rPr>
          <w:rFonts w:cs="Arial"/>
          <w:b/>
          <w:sz w:val="24"/>
          <w:szCs w:val="24"/>
        </w:rPr>
        <w:t>Keywords:</w:t>
      </w:r>
    </w:p>
    <w:p w:rsidR="000450E2" w:rsidRPr="00725E72" w:rsidRDefault="000450E2" w:rsidP="00056D6A">
      <w:pPr>
        <w:spacing w:after="0"/>
        <w:rPr>
          <w:rFonts w:cs="Arial"/>
          <w:sz w:val="24"/>
          <w:szCs w:val="24"/>
        </w:rPr>
      </w:pPr>
      <w:proofErr w:type="gramStart"/>
      <w:r w:rsidRPr="00725E72">
        <w:rPr>
          <w:rFonts w:cs="Arial"/>
          <w:sz w:val="24"/>
          <w:szCs w:val="24"/>
        </w:rPr>
        <w:t>multiple</w:t>
      </w:r>
      <w:proofErr w:type="gramEnd"/>
      <w:r w:rsidRPr="00725E72">
        <w:rPr>
          <w:rFonts w:cs="Arial"/>
          <w:sz w:val="24"/>
          <w:szCs w:val="24"/>
        </w:rPr>
        <w:t xml:space="preserve"> sclerosis, sex, risk factors, </w:t>
      </w:r>
      <w:proofErr w:type="spellStart"/>
      <w:r w:rsidRPr="00725E72">
        <w:rPr>
          <w:rFonts w:cs="Arial"/>
          <w:sz w:val="24"/>
          <w:szCs w:val="24"/>
        </w:rPr>
        <w:t>MSBase</w:t>
      </w:r>
      <w:proofErr w:type="spellEnd"/>
      <w:r w:rsidRPr="00725E72">
        <w:rPr>
          <w:rFonts w:cs="Arial"/>
          <w:sz w:val="24"/>
          <w:szCs w:val="24"/>
        </w:rPr>
        <w:t>, prediction</w:t>
      </w:r>
    </w:p>
    <w:p w:rsidR="000450E2" w:rsidRPr="00725E72" w:rsidRDefault="000450E2" w:rsidP="001F3ABB">
      <w:pPr>
        <w:spacing w:after="0"/>
        <w:rPr>
          <w:rFonts w:cs="Arial"/>
          <w:b/>
          <w:sz w:val="24"/>
          <w:szCs w:val="24"/>
        </w:rPr>
      </w:pPr>
    </w:p>
    <w:p w:rsidR="000450E2" w:rsidRPr="00725E72" w:rsidRDefault="000450E2" w:rsidP="002153AA">
      <w:pPr>
        <w:spacing w:after="0"/>
        <w:rPr>
          <w:rFonts w:cs="Arial"/>
          <w:b/>
          <w:sz w:val="24"/>
          <w:szCs w:val="24"/>
        </w:rPr>
      </w:pPr>
      <w:r w:rsidRPr="00725E72">
        <w:rPr>
          <w:rFonts w:cs="Arial"/>
          <w:b/>
          <w:sz w:val="24"/>
          <w:szCs w:val="24"/>
        </w:rPr>
        <w:t xml:space="preserve">Word count – manuscript: </w:t>
      </w:r>
      <w:r w:rsidRPr="00725E72">
        <w:rPr>
          <w:rFonts w:cs="Arial"/>
          <w:sz w:val="24"/>
          <w:szCs w:val="24"/>
        </w:rPr>
        <w:t>3</w:t>
      </w:r>
      <w:r w:rsidR="000737D6" w:rsidRPr="00725E72">
        <w:rPr>
          <w:rFonts w:cs="Arial"/>
          <w:sz w:val="24"/>
          <w:szCs w:val="24"/>
        </w:rPr>
        <w:t>941</w:t>
      </w:r>
      <w:r w:rsidRPr="00725E72">
        <w:rPr>
          <w:rFonts w:cs="Arial"/>
          <w:b/>
          <w:sz w:val="24"/>
          <w:szCs w:val="24"/>
        </w:rPr>
        <w:br w:type="page"/>
      </w:r>
    </w:p>
    <w:p w:rsidR="000450E2" w:rsidRPr="00725E72" w:rsidRDefault="000450E2" w:rsidP="002153AA">
      <w:pPr>
        <w:spacing w:after="120" w:line="480" w:lineRule="auto"/>
        <w:rPr>
          <w:rFonts w:cs="Arial"/>
          <w:b/>
          <w:sz w:val="24"/>
          <w:szCs w:val="24"/>
        </w:rPr>
      </w:pPr>
      <w:r w:rsidRPr="00725E72">
        <w:rPr>
          <w:rFonts w:cs="Arial"/>
          <w:b/>
          <w:sz w:val="24"/>
          <w:szCs w:val="24"/>
        </w:rPr>
        <w:lastRenderedPageBreak/>
        <w:t>SUMMARY</w:t>
      </w:r>
    </w:p>
    <w:p w:rsidR="000450E2" w:rsidRPr="00725E72" w:rsidRDefault="000450E2" w:rsidP="002153AA">
      <w:pPr>
        <w:spacing w:line="480" w:lineRule="auto"/>
        <w:rPr>
          <w:rFonts w:cs="Arial"/>
          <w:b/>
          <w:sz w:val="24"/>
          <w:szCs w:val="24"/>
        </w:rPr>
      </w:pPr>
      <w:r w:rsidRPr="00725E72">
        <w:rPr>
          <w:rFonts w:cs="Arial"/>
          <w:b/>
          <w:sz w:val="24"/>
          <w:szCs w:val="24"/>
        </w:rPr>
        <w:t>Objectives</w:t>
      </w:r>
    </w:p>
    <w:p w:rsidR="000450E2" w:rsidRPr="00725E72" w:rsidRDefault="000450E2" w:rsidP="002153AA">
      <w:pPr>
        <w:spacing w:line="480" w:lineRule="auto"/>
        <w:rPr>
          <w:rFonts w:cs="Arial"/>
          <w:sz w:val="24"/>
          <w:szCs w:val="24"/>
        </w:rPr>
      </w:pPr>
      <w:r w:rsidRPr="00725E72">
        <w:rPr>
          <w:rFonts w:cs="Arial"/>
          <w:sz w:val="24"/>
          <w:szCs w:val="24"/>
        </w:rPr>
        <w:t>To evaluate sex differences in the incidence of multiple sclerosis relapses. To assess the relationship between sex and primary progressive disease course. To compare effects of age and disease duration on relapse incidence.</w:t>
      </w:r>
    </w:p>
    <w:p w:rsidR="000450E2" w:rsidRPr="00725E72" w:rsidRDefault="000450E2" w:rsidP="002153AA">
      <w:pPr>
        <w:spacing w:line="480" w:lineRule="auto"/>
        <w:rPr>
          <w:rFonts w:cs="Arial"/>
          <w:b/>
          <w:sz w:val="24"/>
          <w:szCs w:val="24"/>
        </w:rPr>
      </w:pPr>
      <w:r w:rsidRPr="00725E72">
        <w:rPr>
          <w:rFonts w:cs="Arial"/>
          <w:b/>
          <w:sz w:val="24"/>
          <w:szCs w:val="24"/>
        </w:rPr>
        <w:t>Methods</w:t>
      </w:r>
    </w:p>
    <w:p w:rsidR="000450E2" w:rsidRPr="00725E72" w:rsidRDefault="000450E2" w:rsidP="002153AA">
      <w:pPr>
        <w:spacing w:line="480" w:lineRule="auto"/>
        <w:rPr>
          <w:rFonts w:cs="Arial"/>
          <w:sz w:val="24"/>
          <w:szCs w:val="24"/>
        </w:rPr>
      </w:pPr>
      <w:r w:rsidRPr="00725E72">
        <w:rPr>
          <w:rFonts w:cs="Arial"/>
          <w:sz w:val="24"/>
          <w:szCs w:val="24"/>
        </w:rPr>
        <w:t xml:space="preserve">Annualised relapse rates were calculated using the </w:t>
      </w:r>
      <w:proofErr w:type="spellStart"/>
      <w:r w:rsidRPr="00725E72">
        <w:rPr>
          <w:rFonts w:cs="Arial"/>
          <w:sz w:val="24"/>
          <w:szCs w:val="24"/>
        </w:rPr>
        <w:t>MSBase</w:t>
      </w:r>
      <w:proofErr w:type="spellEnd"/>
      <w:r w:rsidRPr="00725E72">
        <w:rPr>
          <w:rFonts w:cs="Arial"/>
          <w:sz w:val="24"/>
          <w:szCs w:val="24"/>
        </w:rPr>
        <w:t xml:space="preserve"> registry. Patients with incomplete data or less than one year of follow-up were excluded. Patients with primary progressive multiple sclerosis were only included in the sex ratio analysis. Relapse incidences over 40 years of multiple sclerosis or 70 years of age were compared between females and males with Andersen-Gill and </w:t>
      </w:r>
      <w:proofErr w:type="spellStart"/>
      <w:r w:rsidRPr="00725E72">
        <w:rPr>
          <w:rFonts w:cs="Arial"/>
          <w:sz w:val="24"/>
          <w:szCs w:val="24"/>
        </w:rPr>
        <w:t>Tweedie</w:t>
      </w:r>
      <w:proofErr w:type="spellEnd"/>
      <w:r w:rsidRPr="00725E72">
        <w:rPr>
          <w:rFonts w:cs="Arial"/>
          <w:sz w:val="24"/>
          <w:szCs w:val="24"/>
        </w:rPr>
        <w:t xml:space="preserve"> models. Female-to-male ratios stratified by annual relapse count were evaluated across disease duration and patient age and compared between relapse-onset and primary progressive multiple sclerosis.</w:t>
      </w:r>
    </w:p>
    <w:p w:rsidR="000450E2" w:rsidRPr="00725E72" w:rsidRDefault="000450E2" w:rsidP="002153AA">
      <w:pPr>
        <w:tabs>
          <w:tab w:val="left" w:pos="6497"/>
        </w:tabs>
        <w:spacing w:line="480" w:lineRule="auto"/>
        <w:rPr>
          <w:rFonts w:cs="Arial"/>
          <w:b/>
          <w:sz w:val="24"/>
          <w:szCs w:val="24"/>
        </w:rPr>
      </w:pPr>
      <w:r w:rsidRPr="00725E72">
        <w:rPr>
          <w:rFonts w:cs="Arial"/>
          <w:b/>
          <w:sz w:val="24"/>
          <w:szCs w:val="24"/>
        </w:rPr>
        <w:t>Results</w:t>
      </w:r>
      <w:r w:rsidRPr="00725E72">
        <w:rPr>
          <w:rFonts w:cs="Arial"/>
          <w:b/>
          <w:sz w:val="24"/>
          <w:szCs w:val="24"/>
        </w:rPr>
        <w:tab/>
      </w:r>
    </w:p>
    <w:p w:rsidR="000450E2" w:rsidRPr="00725E72" w:rsidRDefault="000450E2" w:rsidP="002153AA">
      <w:pPr>
        <w:spacing w:line="480" w:lineRule="auto"/>
        <w:rPr>
          <w:rFonts w:cs="Arial"/>
          <w:sz w:val="24"/>
          <w:szCs w:val="24"/>
        </w:rPr>
      </w:pPr>
      <w:r w:rsidRPr="00725E72">
        <w:rPr>
          <w:rFonts w:cs="Arial"/>
          <w:sz w:val="24"/>
          <w:szCs w:val="24"/>
        </w:rPr>
        <w:t>The study cohort consisted of 11,570 eligible patients with relapse-onset and 881 patients with primary progressive multiple sclerosis. Among the relapse-onset patients (82,552 patient-years), 48,362 relapses were recorded. Relapse frequency was 17.7% higher in females compared to males. Within the initial five years, the female-to-male ratio increased from 2.3:1 to 3.3:1 in patients with 0 versus ≥4 relapses per year, respectively. The magnitude of this sex effect increased at longer disease duration and older age (p &lt; 10</w:t>
      </w:r>
      <w:r w:rsidRPr="00725E72">
        <w:rPr>
          <w:rFonts w:cs="Arial"/>
          <w:sz w:val="24"/>
          <w:szCs w:val="24"/>
          <w:vertAlign w:val="superscript"/>
        </w:rPr>
        <w:t>-12</w:t>
      </w:r>
      <w:r w:rsidRPr="00725E72">
        <w:rPr>
          <w:rFonts w:cs="Arial"/>
          <w:sz w:val="24"/>
          <w:szCs w:val="24"/>
        </w:rPr>
        <w:t xml:space="preserve">). However, the female-to-male ratio in patients with relapse-onset multiple sclerosis and zero relapses in any given year was double that of the patients with primary progressive multiple </w:t>
      </w:r>
      <w:r w:rsidRPr="00725E72">
        <w:rPr>
          <w:rFonts w:cs="Arial"/>
          <w:sz w:val="24"/>
          <w:szCs w:val="24"/>
        </w:rPr>
        <w:lastRenderedPageBreak/>
        <w:t>sclerosis. Patient age was a more important determinant of decline in relapse incidence than disease duration (p &lt; 10</w:t>
      </w:r>
      <w:r w:rsidRPr="00725E72">
        <w:rPr>
          <w:rFonts w:cs="Arial"/>
          <w:sz w:val="24"/>
          <w:szCs w:val="24"/>
          <w:vertAlign w:val="superscript"/>
        </w:rPr>
        <w:t>-12</w:t>
      </w:r>
      <w:r w:rsidRPr="00725E72">
        <w:rPr>
          <w:rFonts w:cs="Arial"/>
          <w:sz w:val="24"/>
          <w:szCs w:val="24"/>
        </w:rPr>
        <w:t>).</w:t>
      </w:r>
    </w:p>
    <w:p w:rsidR="000450E2" w:rsidRPr="00725E72" w:rsidRDefault="000450E2" w:rsidP="002153AA">
      <w:pPr>
        <w:spacing w:line="480" w:lineRule="auto"/>
        <w:rPr>
          <w:rFonts w:cs="Arial"/>
          <w:b/>
          <w:sz w:val="24"/>
          <w:szCs w:val="24"/>
        </w:rPr>
      </w:pPr>
      <w:r w:rsidRPr="00725E72">
        <w:rPr>
          <w:rFonts w:cs="Arial"/>
          <w:b/>
          <w:sz w:val="24"/>
          <w:szCs w:val="24"/>
        </w:rPr>
        <w:t>Conclusions</w:t>
      </w:r>
    </w:p>
    <w:p w:rsidR="000450E2" w:rsidRPr="00725E72" w:rsidRDefault="000450E2" w:rsidP="002153AA">
      <w:pPr>
        <w:spacing w:line="480" w:lineRule="auto"/>
        <w:rPr>
          <w:rFonts w:cs="Arial"/>
          <w:sz w:val="24"/>
          <w:szCs w:val="24"/>
        </w:rPr>
      </w:pPr>
      <w:r w:rsidRPr="00725E72">
        <w:rPr>
          <w:rFonts w:cs="Arial"/>
          <w:sz w:val="24"/>
          <w:szCs w:val="24"/>
        </w:rPr>
        <w:t>Females are predisposed to higher relapse activity than males. However, this difference does not explain the markedly lower female-to-male sex ratio in primary progressive multiple sclerosis. Decline in relapse activity over time is more closely related to patient age than disease duration.</w:t>
      </w:r>
      <w:r w:rsidRPr="00725E72">
        <w:rPr>
          <w:rFonts w:cs="Arial"/>
          <w:b/>
          <w:sz w:val="24"/>
          <w:szCs w:val="24"/>
        </w:rPr>
        <w:br w:type="page"/>
      </w:r>
    </w:p>
    <w:p w:rsidR="000450E2" w:rsidRPr="00725E72" w:rsidRDefault="000450E2" w:rsidP="002153AA">
      <w:pPr>
        <w:spacing w:after="120" w:line="480" w:lineRule="auto"/>
        <w:rPr>
          <w:rFonts w:cs="Arial"/>
          <w:b/>
          <w:sz w:val="24"/>
          <w:szCs w:val="24"/>
        </w:rPr>
      </w:pPr>
      <w:r w:rsidRPr="00725E72">
        <w:rPr>
          <w:rFonts w:cs="Arial"/>
          <w:b/>
          <w:sz w:val="24"/>
          <w:szCs w:val="24"/>
        </w:rPr>
        <w:lastRenderedPageBreak/>
        <w:t>INTRODUCTION</w:t>
      </w:r>
    </w:p>
    <w:p w:rsidR="000450E2" w:rsidRPr="00725E72" w:rsidRDefault="000450E2" w:rsidP="002153AA">
      <w:pPr>
        <w:spacing w:line="480" w:lineRule="auto"/>
        <w:rPr>
          <w:rFonts w:cs="Arial"/>
          <w:sz w:val="24"/>
          <w:szCs w:val="24"/>
        </w:rPr>
      </w:pPr>
      <w:r w:rsidRPr="00725E72">
        <w:rPr>
          <w:rFonts w:cs="Arial"/>
          <w:sz w:val="24"/>
          <w:szCs w:val="24"/>
        </w:rPr>
        <w:t xml:space="preserve">Episodic exacerbations are defining phenomena for relapsing-remitting multiple sclerosis (MS) and can be directly associated with residual disability </w:t>
      </w:r>
      <w:r w:rsidRPr="00725E72">
        <w:rPr>
          <w:rFonts w:cs="Arial"/>
          <w:noProof/>
          <w:sz w:val="24"/>
          <w:szCs w:val="24"/>
        </w:rPr>
        <w:t>(Hirst</w:t>
      </w:r>
      <w:r w:rsidRPr="00725E72">
        <w:rPr>
          <w:rFonts w:cs="Arial"/>
          <w:i/>
          <w:noProof/>
          <w:sz w:val="24"/>
          <w:szCs w:val="24"/>
        </w:rPr>
        <w:t xml:space="preserve"> et al.</w:t>
      </w:r>
      <w:r w:rsidRPr="00725E72">
        <w:rPr>
          <w:rFonts w:cs="Arial"/>
          <w:noProof/>
          <w:sz w:val="24"/>
          <w:szCs w:val="24"/>
        </w:rPr>
        <w:t>, 2008)</w:t>
      </w:r>
      <w:r w:rsidRPr="00725E72">
        <w:rPr>
          <w:rFonts w:cs="Arial"/>
          <w:sz w:val="24"/>
          <w:szCs w:val="24"/>
        </w:rPr>
        <w:t xml:space="preserve">. Even though the evidence remains inconclusive </w:t>
      </w:r>
      <w:r w:rsidRPr="00725E72">
        <w:rPr>
          <w:rFonts w:cs="Arial"/>
          <w:noProof/>
          <w:sz w:val="24"/>
          <w:szCs w:val="24"/>
        </w:rPr>
        <w:t>(Hutchinson, 2011)</w:t>
      </w:r>
      <w:r w:rsidRPr="00725E72">
        <w:rPr>
          <w:rFonts w:cs="Arial"/>
          <w:sz w:val="24"/>
          <w:szCs w:val="24"/>
        </w:rPr>
        <w:t xml:space="preserve">, an association between high relapse rate in the first two years after disease onset and later accumulation of irreversible neurological impairment has been suggested </w:t>
      </w:r>
      <w:r w:rsidRPr="00725E72">
        <w:rPr>
          <w:rFonts w:cs="Arial"/>
          <w:noProof/>
          <w:sz w:val="24"/>
          <w:szCs w:val="24"/>
        </w:rPr>
        <w:t>(Kalincik</w:t>
      </w:r>
      <w:r w:rsidRPr="00725E72">
        <w:rPr>
          <w:rFonts w:cs="Arial"/>
          <w:i/>
          <w:noProof/>
          <w:sz w:val="24"/>
          <w:szCs w:val="24"/>
        </w:rPr>
        <w:t xml:space="preserve"> et al.</w:t>
      </w:r>
      <w:r w:rsidRPr="00725E72">
        <w:rPr>
          <w:rFonts w:cs="Arial"/>
          <w:noProof/>
          <w:sz w:val="24"/>
          <w:szCs w:val="24"/>
        </w:rPr>
        <w:t>, 2012; Scalfari</w:t>
      </w:r>
      <w:r w:rsidRPr="00725E72">
        <w:rPr>
          <w:rFonts w:cs="Arial"/>
          <w:i/>
          <w:noProof/>
          <w:sz w:val="24"/>
          <w:szCs w:val="24"/>
        </w:rPr>
        <w:t xml:space="preserve"> et al.</w:t>
      </w:r>
      <w:r w:rsidRPr="00725E72">
        <w:rPr>
          <w:rFonts w:cs="Arial"/>
          <w:noProof/>
          <w:sz w:val="24"/>
          <w:szCs w:val="24"/>
        </w:rPr>
        <w:t>, 2010)</w:t>
      </w:r>
      <w:r w:rsidRPr="00725E72">
        <w:rPr>
          <w:rFonts w:cs="Arial"/>
          <w:sz w:val="24"/>
          <w:szCs w:val="24"/>
        </w:rPr>
        <w:t xml:space="preserve">. There have been only a limited number of studies delineating predictors of relapse activity, with only one study examining a large retrospective cohort </w:t>
      </w:r>
      <w:r w:rsidRPr="00725E72">
        <w:rPr>
          <w:rFonts w:cs="Arial"/>
          <w:noProof/>
          <w:sz w:val="24"/>
          <w:szCs w:val="24"/>
        </w:rPr>
        <w:t>(Held</w:t>
      </w:r>
      <w:r w:rsidRPr="00725E72">
        <w:rPr>
          <w:rFonts w:cs="Arial"/>
          <w:i/>
          <w:noProof/>
          <w:sz w:val="24"/>
          <w:szCs w:val="24"/>
        </w:rPr>
        <w:t xml:space="preserve"> et al.</w:t>
      </w:r>
      <w:r w:rsidRPr="00725E72">
        <w:rPr>
          <w:rFonts w:cs="Arial"/>
          <w:noProof/>
          <w:sz w:val="24"/>
          <w:szCs w:val="24"/>
        </w:rPr>
        <w:t>, 2005; Mowry</w:t>
      </w:r>
      <w:r w:rsidRPr="00725E72">
        <w:rPr>
          <w:rFonts w:cs="Arial"/>
          <w:i/>
          <w:noProof/>
          <w:sz w:val="24"/>
          <w:szCs w:val="24"/>
        </w:rPr>
        <w:t xml:space="preserve"> et al.</w:t>
      </w:r>
      <w:r w:rsidRPr="00725E72">
        <w:rPr>
          <w:rFonts w:cs="Arial"/>
          <w:noProof/>
          <w:sz w:val="24"/>
          <w:szCs w:val="24"/>
        </w:rPr>
        <w:t>, 2009; Tremlett</w:t>
      </w:r>
      <w:r w:rsidRPr="00725E72">
        <w:rPr>
          <w:rFonts w:cs="Arial"/>
          <w:i/>
          <w:noProof/>
          <w:sz w:val="24"/>
          <w:szCs w:val="24"/>
        </w:rPr>
        <w:t xml:space="preserve"> et al.</w:t>
      </w:r>
      <w:r w:rsidRPr="00725E72">
        <w:rPr>
          <w:rFonts w:cs="Arial"/>
          <w:noProof/>
          <w:sz w:val="24"/>
          <w:szCs w:val="24"/>
        </w:rPr>
        <w:t>, 2009)</w:t>
      </w:r>
      <w:r w:rsidRPr="00725E72">
        <w:rPr>
          <w:rFonts w:cs="Arial"/>
          <w:sz w:val="24"/>
          <w:szCs w:val="24"/>
        </w:rPr>
        <w:t xml:space="preserve">. These studies suggested several predisposing factors, such as sex, age, ethnicity and time from MS onset. However, their outcomes, in particular those related to effect of sex on relapse incidence, have often been discordant. </w:t>
      </w:r>
    </w:p>
    <w:p w:rsidR="000450E2" w:rsidRPr="00725E72" w:rsidRDefault="000450E2" w:rsidP="002153AA">
      <w:pPr>
        <w:spacing w:line="480" w:lineRule="auto"/>
        <w:rPr>
          <w:rFonts w:cs="Arial"/>
          <w:sz w:val="24"/>
          <w:szCs w:val="24"/>
        </w:rPr>
      </w:pPr>
      <w:r w:rsidRPr="00725E72">
        <w:rPr>
          <w:rFonts w:cs="Arial"/>
          <w:sz w:val="24"/>
          <w:szCs w:val="24"/>
        </w:rPr>
        <w:t xml:space="preserve">There is a marked predominance of women among MS patients with relapse-onset course. The sex ratios are 3:1 in relapsing-remitting and 3:2 in secondary progressive MS, but in primary progressive MS the both sexes are represented equally </w:t>
      </w:r>
      <w:r w:rsidRPr="00725E72">
        <w:rPr>
          <w:rFonts w:cs="Arial"/>
          <w:noProof/>
          <w:sz w:val="24"/>
          <w:szCs w:val="24"/>
        </w:rPr>
        <w:t>(Alonso and Hernan, 2008; Confavreux and Vukusic, 2006b; Koch-Henriksen and Sorensen, 2010; Runmarker and Andersen, 1993)</w:t>
      </w:r>
      <w:r w:rsidRPr="00725E72">
        <w:rPr>
          <w:rFonts w:cs="Arial"/>
          <w:sz w:val="24"/>
          <w:szCs w:val="24"/>
        </w:rPr>
        <w:t>.</w:t>
      </w:r>
      <w:hyperlink w:anchor="_ENREF_9" w:tooltip="Confavreux, 2006 #1132" w:history="1"/>
      <w:hyperlink w:anchor="_ENREF_10" w:tooltip="Runmarker, 1993 #2404" w:history="1"/>
    </w:p>
    <w:p w:rsidR="000450E2" w:rsidRPr="00725E72" w:rsidRDefault="000450E2" w:rsidP="002153AA">
      <w:pPr>
        <w:spacing w:line="480" w:lineRule="auto"/>
        <w:rPr>
          <w:rFonts w:cs="Arial"/>
          <w:sz w:val="24"/>
          <w:szCs w:val="24"/>
        </w:rPr>
      </w:pPr>
      <w:r w:rsidRPr="00725E72">
        <w:rPr>
          <w:rFonts w:cs="Arial"/>
          <w:sz w:val="24"/>
          <w:szCs w:val="24"/>
        </w:rPr>
        <w:t xml:space="preserve">We have used </w:t>
      </w:r>
      <w:proofErr w:type="spellStart"/>
      <w:r w:rsidRPr="00725E72">
        <w:rPr>
          <w:rFonts w:cs="Arial"/>
          <w:sz w:val="24"/>
          <w:szCs w:val="24"/>
        </w:rPr>
        <w:t>MSBase</w:t>
      </w:r>
      <w:proofErr w:type="spellEnd"/>
      <w:r w:rsidRPr="00725E72">
        <w:rPr>
          <w:rFonts w:cs="Arial"/>
          <w:sz w:val="24"/>
          <w:szCs w:val="24"/>
        </w:rPr>
        <w:t xml:space="preserve">, a longitudinal, international, observational registry of patients with MS, to evaluate the effect of sex on relapse activity up to 40 years of MS duration or 70 years of age. We have directly compared the impacts of age and disease duration on relapse frequency in a predominantly contemporary MS cohort. We have also tested the hypothesis that the female-to-male ratio increases gradually with relapse MS activity and that the primary progressive disease represents a non-relapsing extreme along this continuum. </w:t>
      </w:r>
    </w:p>
    <w:p w:rsidR="000450E2" w:rsidRPr="00725E72" w:rsidRDefault="000450E2" w:rsidP="002153AA">
      <w:pPr>
        <w:spacing w:after="120" w:line="480" w:lineRule="auto"/>
        <w:rPr>
          <w:rFonts w:cs="Arial"/>
          <w:b/>
          <w:sz w:val="24"/>
          <w:szCs w:val="24"/>
        </w:rPr>
      </w:pPr>
    </w:p>
    <w:p w:rsidR="000450E2" w:rsidRPr="00725E72" w:rsidRDefault="000450E2" w:rsidP="002153AA">
      <w:pPr>
        <w:spacing w:after="120" w:line="480" w:lineRule="auto"/>
        <w:rPr>
          <w:rFonts w:cs="Arial"/>
          <w:b/>
          <w:sz w:val="24"/>
          <w:szCs w:val="24"/>
        </w:rPr>
      </w:pPr>
      <w:r w:rsidRPr="00725E72">
        <w:rPr>
          <w:rFonts w:cs="Arial"/>
          <w:b/>
          <w:sz w:val="24"/>
          <w:szCs w:val="24"/>
        </w:rPr>
        <w:lastRenderedPageBreak/>
        <w:t>PATIENTS AND METHODS</w:t>
      </w:r>
    </w:p>
    <w:p w:rsidR="000450E2" w:rsidRPr="00725E72" w:rsidRDefault="000450E2" w:rsidP="002153AA">
      <w:pPr>
        <w:spacing w:after="120" w:line="480" w:lineRule="auto"/>
        <w:rPr>
          <w:rFonts w:cs="Arial"/>
          <w:b/>
          <w:sz w:val="24"/>
          <w:szCs w:val="24"/>
        </w:rPr>
      </w:pPr>
      <w:r w:rsidRPr="00725E72">
        <w:rPr>
          <w:rFonts w:cs="Arial"/>
          <w:b/>
          <w:sz w:val="24"/>
          <w:szCs w:val="24"/>
        </w:rPr>
        <w:t>Ethics statement</w:t>
      </w:r>
    </w:p>
    <w:p w:rsidR="000450E2" w:rsidRPr="00725E72" w:rsidRDefault="000450E2" w:rsidP="002153AA">
      <w:pPr>
        <w:spacing w:after="120" w:line="480" w:lineRule="auto"/>
        <w:rPr>
          <w:rFonts w:cs="Arial"/>
          <w:sz w:val="24"/>
          <w:szCs w:val="24"/>
        </w:rPr>
      </w:pPr>
      <w:r w:rsidRPr="00725E72">
        <w:rPr>
          <w:rFonts w:cs="Arial"/>
          <w:sz w:val="24"/>
          <w:szCs w:val="24"/>
        </w:rPr>
        <w:t xml:space="preserve">The </w:t>
      </w:r>
      <w:proofErr w:type="spellStart"/>
      <w:r w:rsidRPr="00725E72">
        <w:rPr>
          <w:rFonts w:cs="Arial"/>
          <w:sz w:val="24"/>
          <w:szCs w:val="24"/>
        </w:rPr>
        <w:t>MSBase</w:t>
      </w:r>
      <w:proofErr w:type="spellEnd"/>
      <w:r w:rsidRPr="00725E72">
        <w:rPr>
          <w:rFonts w:cs="Arial"/>
          <w:sz w:val="24"/>
          <w:szCs w:val="24"/>
        </w:rPr>
        <w:t xml:space="preserve"> registry </w:t>
      </w:r>
      <w:r w:rsidRPr="00725E72">
        <w:rPr>
          <w:rFonts w:cs="Arial"/>
          <w:noProof/>
          <w:sz w:val="24"/>
          <w:szCs w:val="24"/>
        </w:rPr>
        <w:t>(Butzkueven</w:t>
      </w:r>
      <w:r w:rsidRPr="00725E72">
        <w:rPr>
          <w:rFonts w:cs="Arial"/>
          <w:i/>
          <w:noProof/>
          <w:sz w:val="24"/>
          <w:szCs w:val="24"/>
        </w:rPr>
        <w:t xml:space="preserve"> et al.</w:t>
      </w:r>
      <w:r w:rsidRPr="00725E72">
        <w:rPr>
          <w:rFonts w:cs="Arial"/>
          <w:noProof/>
          <w:sz w:val="24"/>
          <w:szCs w:val="24"/>
        </w:rPr>
        <w:t>, 2006)</w:t>
      </w:r>
      <w:r w:rsidRPr="00725E72">
        <w:rPr>
          <w:rFonts w:cs="Arial"/>
          <w:sz w:val="24"/>
          <w:szCs w:val="24"/>
        </w:rPr>
        <w:t xml:space="preserve"> was approved by the Melbourne Health Human Research Ethics Committee, and by the local ethics committees in all participating centres (or exemptions granted, according to applicable local laws and regulations). If required, written informed consent was obtained from enrolled patients, in accordance with the Declaration of Helsinki.</w:t>
      </w:r>
    </w:p>
    <w:p w:rsidR="000450E2" w:rsidRPr="00725E72" w:rsidRDefault="000450E2" w:rsidP="002153AA">
      <w:pPr>
        <w:spacing w:after="120" w:line="480" w:lineRule="auto"/>
        <w:rPr>
          <w:rFonts w:cs="Arial"/>
          <w:sz w:val="24"/>
          <w:szCs w:val="24"/>
        </w:rPr>
      </w:pPr>
    </w:p>
    <w:p w:rsidR="000450E2" w:rsidRPr="00725E72" w:rsidRDefault="000450E2" w:rsidP="002153AA">
      <w:pPr>
        <w:spacing w:after="120" w:line="480" w:lineRule="auto"/>
        <w:rPr>
          <w:rFonts w:cs="Arial"/>
          <w:b/>
          <w:sz w:val="24"/>
          <w:szCs w:val="24"/>
        </w:rPr>
      </w:pPr>
      <w:r w:rsidRPr="00725E72">
        <w:rPr>
          <w:rFonts w:cs="Arial"/>
          <w:b/>
          <w:sz w:val="24"/>
          <w:szCs w:val="24"/>
        </w:rPr>
        <w:t>Patients and follow-up</w:t>
      </w:r>
    </w:p>
    <w:p w:rsidR="000450E2" w:rsidRPr="00725E72" w:rsidRDefault="000450E2" w:rsidP="002153AA">
      <w:pPr>
        <w:spacing w:after="120" w:line="480" w:lineRule="auto"/>
        <w:rPr>
          <w:rFonts w:cs="Arial"/>
          <w:sz w:val="24"/>
          <w:szCs w:val="24"/>
        </w:rPr>
      </w:pPr>
      <w:r w:rsidRPr="00725E72">
        <w:rPr>
          <w:rFonts w:cs="Arial"/>
          <w:sz w:val="24"/>
          <w:szCs w:val="24"/>
        </w:rPr>
        <w:t xml:space="preserve">Longitudinal clinical data from 18,885 patients from 55 MS centres in 25 countries were extracted from the </w:t>
      </w:r>
      <w:proofErr w:type="spellStart"/>
      <w:r w:rsidRPr="00725E72">
        <w:rPr>
          <w:rFonts w:cs="Arial"/>
          <w:sz w:val="24"/>
          <w:szCs w:val="24"/>
        </w:rPr>
        <w:t>MSBase</w:t>
      </w:r>
      <w:proofErr w:type="spellEnd"/>
      <w:r w:rsidRPr="00725E72">
        <w:rPr>
          <w:rFonts w:cs="Arial"/>
          <w:sz w:val="24"/>
          <w:szCs w:val="24"/>
        </w:rPr>
        <w:t xml:space="preserve"> registry in February 2012. Data recorded between years 1951 and 2012 were used. The majority of the patients were enrolled in the </w:t>
      </w:r>
      <w:proofErr w:type="spellStart"/>
      <w:r w:rsidRPr="00725E72">
        <w:rPr>
          <w:rFonts w:cs="Arial"/>
          <w:sz w:val="24"/>
          <w:szCs w:val="24"/>
        </w:rPr>
        <w:t>MSBase</w:t>
      </w:r>
      <w:proofErr w:type="spellEnd"/>
      <w:r w:rsidRPr="00725E72">
        <w:rPr>
          <w:rFonts w:cs="Arial"/>
          <w:sz w:val="24"/>
          <w:szCs w:val="24"/>
        </w:rPr>
        <w:t xml:space="preserve"> registry in year 2000 or later (75%), with 20% enrolled in years 1990-2000, 3% enrolled in years 1980-1990 and only 0.9% of patients enrolled before 1980. The participating centres contributed between 2 and 1239 cases </w:t>
      </w:r>
      <w:r w:rsidR="00376BCC" w:rsidRPr="00725E72">
        <w:rPr>
          <w:rFonts w:cs="Arial"/>
          <w:sz w:val="24"/>
          <w:szCs w:val="24"/>
        </w:rPr>
        <w:t>fulfilling the study inclusion criteria</w:t>
      </w:r>
      <w:r w:rsidRPr="00725E72">
        <w:rPr>
          <w:rFonts w:cs="Arial"/>
          <w:sz w:val="24"/>
          <w:szCs w:val="24"/>
        </w:rPr>
        <w:t xml:space="preserve">, with recorded ARR in relapse-onset MS ranging from 0.1 to 2 and female-to-male ratio ranging from 0.9:1 to 4.4:1. The country-specific ranges were 2-3282 for the number of eligible patients, 0.2-2 for ARR in relapse-onset MS and 0.9-4.4:1 for female-to-male ratio. Patients with incomplete data (i.e. not fulfilling the minimal dataset requirement, see below) or less than one year of recorded clinical follow-up were excluded. The minimal dataset consisted of patient date of birth, sex, MS centre, dates of MS onset and clinical follow-up, disease course and disability (at inclusion and censoring), start and end dates of disease modifying treatment exposure and list of clinical relapses (including date of onset and relapse treatment status). Patients </w:t>
      </w:r>
      <w:r w:rsidRPr="00725E72">
        <w:rPr>
          <w:rFonts w:cs="Arial"/>
          <w:sz w:val="24"/>
          <w:szCs w:val="24"/>
        </w:rPr>
        <w:lastRenderedPageBreak/>
        <w:t xml:space="preserve">with relapse-onset MS (i.e. clinically isolated syndrome, relapsing-remitting MS, secondary progressive MS or relapsing-progressive MS) were included in all analyses. Patients with primary progressive MS were only included in the analyses comparing female-to-male ratios between relapse-onset and primary progressive MS (see below). Finally, patients with relapse-onset MS and at least 10 years of recorded follow up, and all patients with primary progressive MS were included in a subgroup analysis of female-to-male ratios stratified by relapse activity. </w:t>
      </w:r>
    </w:p>
    <w:p w:rsidR="000450E2" w:rsidRPr="00725E72" w:rsidRDefault="000450E2" w:rsidP="002153AA">
      <w:pPr>
        <w:spacing w:after="120" w:line="480" w:lineRule="auto"/>
        <w:rPr>
          <w:rFonts w:cs="Arial"/>
          <w:sz w:val="24"/>
          <w:szCs w:val="24"/>
        </w:rPr>
      </w:pPr>
      <w:r w:rsidRPr="00725E72">
        <w:rPr>
          <w:rFonts w:cs="Arial"/>
          <w:sz w:val="24"/>
          <w:szCs w:val="24"/>
        </w:rPr>
        <w:t xml:space="preserve">The analysed data were recorded as part of routine clinical practice. The usual data entry practice at most centres was real time or near-real time data entry in relation to clinical visits. The </w:t>
      </w:r>
      <w:proofErr w:type="spellStart"/>
      <w:r w:rsidRPr="00725E72">
        <w:rPr>
          <w:rFonts w:cs="Arial"/>
          <w:sz w:val="24"/>
          <w:szCs w:val="24"/>
        </w:rPr>
        <w:t>MSBase</w:t>
      </w:r>
      <w:proofErr w:type="spellEnd"/>
      <w:r w:rsidRPr="00725E72">
        <w:rPr>
          <w:rFonts w:cs="Arial"/>
          <w:sz w:val="24"/>
          <w:szCs w:val="24"/>
        </w:rPr>
        <w:t xml:space="preserve"> protocol stipulates minimum annual updates of the minimum dataset, but patients with less frequent visits were not excluded from the analysis. Data entry portal was either the </w:t>
      </w:r>
      <w:proofErr w:type="spellStart"/>
      <w:r w:rsidRPr="00725E72">
        <w:rPr>
          <w:rFonts w:cs="Arial"/>
          <w:sz w:val="24"/>
          <w:szCs w:val="24"/>
        </w:rPr>
        <w:t>iMed</w:t>
      </w:r>
      <w:proofErr w:type="spellEnd"/>
      <w:r w:rsidRPr="00725E72">
        <w:rPr>
          <w:rFonts w:cs="Arial"/>
          <w:sz w:val="24"/>
          <w:szCs w:val="24"/>
        </w:rPr>
        <w:t xml:space="preserve"> patient record system or the </w:t>
      </w:r>
      <w:proofErr w:type="spellStart"/>
      <w:r w:rsidRPr="00725E72">
        <w:rPr>
          <w:rFonts w:cs="Arial"/>
          <w:sz w:val="24"/>
          <w:szCs w:val="24"/>
        </w:rPr>
        <w:t>MSBase</w:t>
      </w:r>
      <w:proofErr w:type="spellEnd"/>
      <w:r w:rsidRPr="00725E72">
        <w:rPr>
          <w:rFonts w:cs="Arial"/>
          <w:sz w:val="24"/>
          <w:szCs w:val="24"/>
        </w:rPr>
        <w:t xml:space="preserve"> online data entry system. </w:t>
      </w:r>
    </w:p>
    <w:p w:rsidR="000450E2" w:rsidRPr="00725E72" w:rsidRDefault="000450E2" w:rsidP="002153AA">
      <w:pPr>
        <w:spacing w:after="120" w:line="480" w:lineRule="auto"/>
        <w:rPr>
          <w:rFonts w:cs="Arial"/>
          <w:sz w:val="24"/>
          <w:szCs w:val="24"/>
        </w:rPr>
      </w:pPr>
      <w:r w:rsidRPr="00725E72">
        <w:rPr>
          <w:rFonts w:cs="Arial"/>
          <w:sz w:val="24"/>
          <w:szCs w:val="24"/>
        </w:rPr>
        <w:t xml:space="preserve">A relapse was defined as occurrence of new symptoms or exacerbation of existing symptoms persisting for at least 24 hours, in the absence of concurrent illness or fever, and occurring at least 30 days after a previous relapse </w:t>
      </w:r>
      <w:r w:rsidRPr="00725E72">
        <w:rPr>
          <w:rFonts w:cs="Arial"/>
          <w:noProof/>
          <w:sz w:val="24"/>
          <w:szCs w:val="24"/>
        </w:rPr>
        <w:t>(Schumacher</w:t>
      </w:r>
      <w:r w:rsidRPr="00725E72">
        <w:rPr>
          <w:rFonts w:cs="Arial"/>
          <w:i/>
          <w:noProof/>
          <w:sz w:val="24"/>
          <w:szCs w:val="24"/>
        </w:rPr>
        <w:t xml:space="preserve"> et al.</w:t>
      </w:r>
      <w:r w:rsidRPr="00725E72">
        <w:rPr>
          <w:rFonts w:cs="Arial"/>
          <w:noProof/>
          <w:sz w:val="24"/>
          <w:szCs w:val="24"/>
        </w:rPr>
        <w:t>, 1965)</w:t>
      </w:r>
      <w:r w:rsidRPr="00725E72">
        <w:rPr>
          <w:rFonts w:cs="Arial"/>
          <w:sz w:val="24"/>
          <w:szCs w:val="24"/>
        </w:rPr>
        <w:t xml:space="preserve">. Date of onset was recorded for each clinical relapse. Formal scoring of relapse-associated disability was not required upon relapse entry. Disability was scored by accredited scorers (online </w:t>
      </w:r>
      <w:proofErr w:type="spellStart"/>
      <w:r w:rsidRPr="00725E72">
        <w:rPr>
          <w:rFonts w:cs="Arial"/>
          <w:sz w:val="24"/>
          <w:szCs w:val="24"/>
        </w:rPr>
        <w:t>Neurostatus</w:t>
      </w:r>
      <w:proofErr w:type="spellEnd"/>
      <w:r w:rsidRPr="00725E72">
        <w:rPr>
          <w:rFonts w:cs="Arial"/>
          <w:sz w:val="24"/>
          <w:szCs w:val="24"/>
        </w:rPr>
        <w:t xml:space="preserve"> certification was required at each centre) using the Expanded Disability Status Scale (EDSS). Duration of MS was calculated as the time from the patient-reported first clinical manifestation of the disease and relapsing / progressive onset of disease was assessed by participating neurologists. Primary progressive MS was defined as the disease with at least one year of disease progression from its first clinical manifestation and with zero recorded relapses. In each patient, unadjusted annualised relapse rates (ARRs) </w:t>
      </w:r>
      <w:r w:rsidRPr="00725E72">
        <w:rPr>
          <w:rFonts w:cs="Arial"/>
          <w:sz w:val="24"/>
          <w:szCs w:val="24"/>
        </w:rPr>
        <w:lastRenderedPageBreak/>
        <w:t>stratified by disease duration or patient age were calculated by including the initial relapse and the number of relapses for years for which clinical data were available. Censoring was defined to occur on the day of the last recorded clinical visit. Information about patient death and its relation to MS was not collected in the database.</w:t>
      </w:r>
    </w:p>
    <w:p w:rsidR="000450E2" w:rsidRPr="00725E72" w:rsidRDefault="000450E2" w:rsidP="002153AA">
      <w:pPr>
        <w:spacing w:after="120" w:line="480" w:lineRule="auto"/>
        <w:rPr>
          <w:rFonts w:cs="Arial"/>
          <w:sz w:val="24"/>
          <w:szCs w:val="24"/>
        </w:rPr>
      </w:pPr>
      <w:r w:rsidRPr="00725E72">
        <w:rPr>
          <w:rFonts w:cs="Arial"/>
          <w:sz w:val="24"/>
          <w:szCs w:val="24"/>
        </w:rPr>
        <w:t xml:space="preserve">To assure quality of the analysed data, only information from centres </w:t>
      </w:r>
      <w:r w:rsidR="000C026B" w:rsidRPr="00725E72">
        <w:rPr>
          <w:rFonts w:cs="Arial"/>
          <w:sz w:val="24"/>
          <w:szCs w:val="24"/>
        </w:rPr>
        <w:t>contributing</w:t>
      </w:r>
      <w:r w:rsidRPr="00725E72">
        <w:rPr>
          <w:rFonts w:cs="Arial"/>
          <w:sz w:val="24"/>
          <w:szCs w:val="24"/>
        </w:rPr>
        <w:t xml:space="preserve"> at least 10 active records </w:t>
      </w:r>
      <w:r w:rsidR="00595B65" w:rsidRPr="00725E72">
        <w:rPr>
          <w:rFonts w:cs="Arial"/>
          <w:sz w:val="24"/>
          <w:szCs w:val="24"/>
        </w:rPr>
        <w:t xml:space="preserve">(i.e. </w:t>
      </w:r>
      <w:r w:rsidR="00FF1EF2" w:rsidRPr="00725E72">
        <w:rPr>
          <w:rFonts w:cs="Arial"/>
          <w:sz w:val="24"/>
          <w:szCs w:val="24"/>
        </w:rPr>
        <w:t>cases with</w:t>
      </w:r>
      <w:r w:rsidR="00595B65" w:rsidRPr="00725E72">
        <w:rPr>
          <w:rFonts w:cs="Arial"/>
          <w:sz w:val="24"/>
          <w:szCs w:val="24"/>
        </w:rPr>
        <w:t xml:space="preserve"> regular annual update</w:t>
      </w:r>
      <w:r w:rsidR="00FF1EF2" w:rsidRPr="00725E72">
        <w:rPr>
          <w:rFonts w:cs="Arial"/>
          <w:sz w:val="24"/>
          <w:szCs w:val="24"/>
        </w:rPr>
        <w:t>s</w:t>
      </w:r>
      <w:r w:rsidR="00595B65" w:rsidRPr="00725E72">
        <w:rPr>
          <w:rFonts w:cs="Arial"/>
          <w:sz w:val="24"/>
          <w:szCs w:val="24"/>
        </w:rPr>
        <w:t xml:space="preserve"> of clinical information) </w:t>
      </w:r>
      <w:r w:rsidR="000C026B" w:rsidRPr="00725E72">
        <w:rPr>
          <w:rFonts w:cs="Arial"/>
          <w:sz w:val="24"/>
          <w:szCs w:val="24"/>
        </w:rPr>
        <w:t xml:space="preserve">to the </w:t>
      </w:r>
      <w:proofErr w:type="spellStart"/>
      <w:r w:rsidR="000C026B" w:rsidRPr="00725E72">
        <w:rPr>
          <w:rFonts w:cs="Arial"/>
          <w:sz w:val="24"/>
          <w:szCs w:val="24"/>
        </w:rPr>
        <w:t>MSBase</w:t>
      </w:r>
      <w:proofErr w:type="spellEnd"/>
      <w:r w:rsidR="000C026B" w:rsidRPr="00725E72">
        <w:rPr>
          <w:rFonts w:cs="Arial"/>
          <w:sz w:val="24"/>
          <w:szCs w:val="24"/>
        </w:rPr>
        <w:t xml:space="preserve"> registry </w:t>
      </w:r>
      <w:r w:rsidRPr="00725E72">
        <w:rPr>
          <w:rFonts w:cs="Arial"/>
          <w:sz w:val="24"/>
          <w:szCs w:val="24"/>
        </w:rPr>
        <w:t>was used, as stipulated in the study protocol. A date of onset was required for all recorded events, including relapses, visit (with or without EDSS score), changes in disease course and changes in treatment. Prior to the analysis the recorded data were verified using a series of automated procedures to identify any invalid or inconsistent entries.</w:t>
      </w:r>
    </w:p>
    <w:p w:rsidR="000450E2" w:rsidRPr="00725E72" w:rsidRDefault="000450E2" w:rsidP="002153AA">
      <w:pPr>
        <w:spacing w:after="120" w:line="480" w:lineRule="auto"/>
        <w:rPr>
          <w:rFonts w:cs="Arial"/>
          <w:sz w:val="24"/>
          <w:szCs w:val="24"/>
        </w:rPr>
      </w:pPr>
    </w:p>
    <w:p w:rsidR="000450E2" w:rsidRPr="00725E72" w:rsidRDefault="000450E2" w:rsidP="002153AA">
      <w:pPr>
        <w:keepNext/>
        <w:spacing w:after="120" w:line="480" w:lineRule="auto"/>
        <w:rPr>
          <w:rFonts w:cs="Arial"/>
          <w:b/>
          <w:sz w:val="24"/>
          <w:szCs w:val="24"/>
        </w:rPr>
      </w:pPr>
      <w:r w:rsidRPr="00725E72">
        <w:rPr>
          <w:rFonts w:cs="Arial"/>
          <w:b/>
          <w:sz w:val="24"/>
          <w:szCs w:val="24"/>
        </w:rPr>
        <w:t>Statistical analysis</w:t>
      </w:r>
    </w:p>
    <w:p w:rsidR="000450E2" w:rsidRPr="00725E72" w:rsidRDefault="000450E2" w:rsidP="002153AA">
      <w:pPr>
        <w:spacing w:after="120" w:line="480" w:lineRule="auto"/>
        <w:rPr>
          <w:rFonts w:cs="Arial"/>
          <w:sz w:val="24"/>
          <w:szCs w:val="24"/>
        </w:rPr>
      </w:pPr>
      <w:r w:rsidRPr="00725E72">
        <w:rPr>
          <w:rFonts w:cs="Arial"/>
          <w:sz w:val="24"/>
          <w:szCs w:val="24"/>
        </w:rPr>
        <w:t xml:space="preserve">Statistical analyses were carried out using </w:t>
      </w:r>
      <w:proofErr w:type="spellStart"/>
      <w:r w:rsidRPr="00725E72">
        <w:rPr>
          <w:rFonts w:cs="Arial"/>
          <w:sz w:val="24"/>
          <w:szCs w:val="24"/>
        </w:rPr>
        <w:t>Statistica</w:t>
      </w:r>
      <w:proofErr w:type="spellEnd"/>
      <w:r w:rsidRPr="00725E72">
        <w:rPr>
          <w:rFonts w:cs="Arial"/>
          <w:sz w:val="24"/>
          <w:szCs w:val="24"/>
        </w:rPr>
        <w:t xml:space="preserve"> 10 (</w:t>
      </w:r>
      <w:proofErr w:type="spellStart"/>
      <w:r w:rsidRPr="00725E72">
        <w:rPr>
          <w:rFonts w:cs="Arial"/>
          <w:sz w:val="24"/>
          <w:szCs w:val="24"/>
        </w:rPr>
        <w:t>Statsoft</w:t>
      </w:r>
      <w:proofErr w:type="spellEnd"/>
      <w:r w:rsidRPr="00725E72">
        <w:rPr>
          <w:rFonts w:cs="Arial"/>
          <w:sz w:val="24"/>
          <w:szCs w:val="24"/>
        </w:rPr>
        <w:t xml:space="preserve">, Tulsa, OK, USA) and R (http://www.R-project.org). All hypotheses were tested at the two-tailed 0.05 level of statistical significance, after applying the </w:t>
      </w:r>
      <w:proofErr w:type="spellStart"/>
      <w:r w:rsidRPr="00725E72">
        <w:rPr>
          <w:rFonts w:cs="Arial"/>
          <w:sz w:val="24"/>
          <w:szCs w:val="24"/>
        </w:rPr>
        <w:t>Benjamini</w:t>
      </w:r>
      <w:proofErr w:type="spellEnd"/>
      <w:r w:rsidRPr="00725E72">
        <w:rPr>
          <w:rFonts w:cs="Arial"/>
          <w:sz w:val="24"/>
          <w:szCs w:val="24"/>
        </w:rPr>
        <w:t xml:space="preserve">-Hochberg correction for multiple hypothesis testing. Two proportional hazards models with robust variance estimation (Andersen-Gill) and </w:t>
      </w:r>
      <w:proofErr w:type="spellStart"/>
      <w:r w:rsidRPr="00725E72">
        <w:rPr>
          <w:rFonts w:cs="Arial"/>
          <w:sz w:val="24"/>
          <w:szCs w:val="24"/>
        </w:rPr>
        <w:t>Efron</w:t>
      </w:r>
      <w:proofErr w:type="spellEnd"/>
      <w:r w:rsidRPr="00725E72">
        <w:rPr>
          <w:rFonts w:cs="Arial"/>
          <w:sz w:val="24"/>
          <w:szCs w:val="24"/>
        </w:rPr>
        <w:t xml:space="preserve"> approximation method, adjusted either for patient age or disease duration, were used to estimate cumulative hazard* of relapses for each sex. The outcome variable was time to relapse with multiple entries per patient allowed. The models were adjusted for pregnancy (proportion of time pregnant from the study enrolment or the previous recorded event to the next event/censoring, treated as time-varying variable) and immunomodulatory therapy, when any change in therapy with or without relapse was </w:t>
      </w:r>
      <w:r w:rsidRPr="00725E72">
        <w:rPr>
          <w:rFonts w:cs="Arial"/>
          <w:sz w:val="24"/>
          <w:szCs w:val="24"/>
        </w:rPr>
        <w:lastRenderedPageBreak/>
        <w:t xml:space="preserve">treated as a relapse (response) or non-relapse (censoring) event. The immunomodulatory agents considered were interferon β-1a 22 μg or 44 μg subcutaneous injection thrice weekly, interferon β-1a 30 μg intramuscular injection once weekly, interferon β-1b 250 μg subcutaneous injection every other day, glatiramer acetate 20 mg subcutaneous injection daily, natalizumab 300 mg intravenous infusion once monthly, </w:t>
      </w:r>
      <w:proofErr w:type="spellStart"/>
      <w:r w:rsidRPr="00725E72">
        <w:rPr>
          <w:rFonts w:cs="Arial"/>
          <w:sz w:val="24"/>
          <w:szCs w:val="24"/>
        </w:rPr>
        <w:t>fingolimod</w:t>
      </w:r>
      <w:proofErr w:type="spellEnd"/>
      <w:r w:rsidRPr="00725E72">
        <w:rPr>
          <w:rFonts w:cs="Arial"/>
          <w:sz w:val="24"/>
          <w:szCs w:val="24"/>
        </w:rPr>
        <w:t xml:space="preserve"> 0.5 mg orally once daily, dimethyl </w:t>
      </w:r>
      <w:proofErr w:type="spellStart"/>
      <w:r w:rsidRPr="00725E72">
        <w:rPr>
          <w:rFonts w:cs="Arial"/>
          <w:sz w:val="24"/>
          <w:szCs w:val="24"/>
        </w:rPr>
        <w:t>fumarate</w:t>
      </w:r>
      <w:proofErr w:type="spellEnd"/>
      <w:r w:rsidRPr="00725E72">
        <w:rPr>
          <w:rFonts w:cs="Arial"/>
          <w:sz w:val="24"/>
          <w:szCs w:val="24"/>
        </w:rPr>
        <w:t xml:space="preserve"> 240 mg orally twice or thrice daily, </w:t>
      </w:r>
      <w:proofErr w:type="spellStart"/>
      <w:r w:rsidRPr="00725E72">
        <w:rPr>
          <w:rFonts w:cs="Arial"/>
          <w:sz w:val="24"/>
          <w:szCs w:val="24"/>
        </w:rPr>
        <w:t>cladribine</w:t>
      </w:r>
      <w:proofErr w:type="spellEnd"/>
      <w:r w:rsidRPr="00725E72">
        <w:rPr>
          <w:rFonts w:cs="Arial"/>
          <w:sz w:val="24"/>
          <w:szCs w:val="24"/>
        </w:rPr>
        <w:t xml:space="preserve"> 10 mg orally once monthly for two months, and </w:t>
      </w:r>
      <w:proofErr w:type="spellStart"/>
      <w:r w:rsidRPr="00725E72">
        <w:rPr>
          <w:rFonts w:cs="Arial"/>
          <w:sz w:val="24"/>
          <w:szCs w:val="24"/>
        </w:rPr>
        <w:t>teriflunomide</w:t>
      </w:r>
      <w:proofErr w:type="spellEnd"/>
      <w:r w:rsidRPr="00725E72">
        <w:rPr>
          <w:rFonts w:cs="Arial"/>
          <w:sz w:val="24"/>
          <w:szCs w:val="24"/>
        </w:rPr>
        <w:t xml:space="preserve"> 7 mg or 14 mg orally once daily. </w:t>
      </w:r>
    </w:p>
    <w:p w:rsidR="000450E2" w:rsidRPr="00725E72" w:rsidRDefault="000450E2" w:rsidP="002153AA">
      <w:pPr>
        <w:spacing w:after="120" w:line="480" w:lineRule="auto"/>
        <w:rPr>
          <w:rFonts w:cs="Arial"/>
          <w:sz w:val="24"/>
          <w:szCs w:val="24"/>
        </w:rPr>
      </w:pPr>
      <w:r w:rsidRPr="00725E72">
        <w:rPr>
          <w:rFonts w:cs="Arial"/>
          <w:sz w:val="24"/>
          <w:szCs w:val="24"/>
        </w:rPr>
        <w:t xml:space="preserve">Two </w:t>
      </w:r>
      <w:proofErr w:type="spellStart"/>
      <w:r w:rsidRPr="00725E72">
        <w:rPr>
          <w:rFonts w:cs="Arial"/>
          <w:sz w:val="24"/>
          <w:szCs w:val="24"/>
        </w:rPr>
        <w:t>Tweedie</w:t>
      </w:r>
      <w:proofErr w:type="spellEnd"/>
      <w:r w:rsidRPr="00725E72">
        <w:rPr>
          <w:rFonts w:cs="Arial"/>
          <w:sz w:val="24"/>
          <w:szCs w:val="24"/>
        </w:rPr>
        <w:t xml:space="preserve"> models with index parameters 1.5 (i.e. compound Poisson-Gamma models) adjusted for sex, pregnancy and treatment (the latter two variables expressed as the proportion of time pregnant or treated with disease modifying agent, respectively,  throughout the recorded follow-up) were built to evaluate separately the effects of age and disease duration on ARR. Each patient contributed a single entry of overall ARR calculated as the number of relapses divided by the duration of the follow-up. A similar final </w:t>
      </w:r>
      <w:proofErr w:type="spellStart"/>
      <w:r w:rsidRPr="00725E72">
        <w:rPr>
          <w:rFonts w:cs="Arial"/>
          <w:sz w:val="24"/>
          <w:szCs w:val="24"/>
        </w:rPr>
        <w:t>Tweedie</w:t>
      </w:r>
      <w:proofErr w:type="spellEnd"/>
      <w:r w:rsidRPr="00725E72">
        <w:rPr>
          <w:rFonts w:cs="Arial"/>
          <w:sz w:val="24"/>
          <w:szCs w:val="24"/>
        </w:rPr>
        <w:t xml:space="preserve"> model including both age and disease duration was used to compare the effects of age and disease duration.</w:t>
      </w:r>
    </w:p>
    <w:p w:rsidR="000450E2" w:rsidRPr="00725E72" w:rsidRDefault="000450E2" w:rsidP="002153AA">
      <w:pPr>
        <w:spacing w:after="120" w:line="480" w:lineRule="auto"/>
        <w:rPr>
          <w:rFonts w:cs="Arial"/>
          <w:sz w:val="24"/>
          <w:szCs w:val="24"/>
        </w:rPr>
      </w:pPr>
      <w:r w:rsidRPr="00725E72">
        <w:rPr>
          <w:rFonts w:cs="Arial"/>
          <w:sz w:val="24"/>
          <w:szCs w:val="24"/>
        </w:rPr>
        <w:t xml:space="preserve">We evaluated the effect of relapse count on female-to-male ratio at any completed observational year using two logistic mixed effect models. The outcome in these models was the probability of being female (i.e. the female gender recorded in individual patients), with multiple entries per patient allowed (one entry per completed year of follow-up / chronological age) and the random effect being the patient unique identifier. The predictors of interest were the number of relapses recorded in any completed follow-up year, patient age or MS duration (either age or MS duration was used in either model), and their interaction term. The models were adjusted for age at MS onset, disease course, pregnancy </w:t>
      </w:r>
      <w:r w:rsidRPr="00725E72">
        <w:rPr>
          <w:rFonts w:cs="Arial"/>
          <w:sz w:val="24"/>
          <w:szCs w:val="24"/>
        </w:rPr>
        <w:lastRenderedPageBreak/>
        <w:t>(proportion of time in any completed year) and immunomodulatory therapy (proportion of time in any completed year).</w:t>
      </w:r>
    </w:p>
    <w:p w:rsidR="000450E2" w:rsidRPr="00725E72" w:rsidRDefault="000450E2" w:rsidP="002153AA">
      <w:pPr>
        <w:keepNext/>
        <w:spacing w:after="120" w:line="480" w:lineRule="auto"/>
        <w:rPr>
          <w:rFonts w:cs="Arial"/>
          <w:b/>
          <w:sz w:val="24"/>
          <w:szCs w:val="24"/>
        </w:rPr>
      </w:pPr>
    </w:p>
    <w:p w:rsidR="000450E2" w:rsidRPr="00725E72" w:rsidRDefault="000450E2" w:rsidP="002153AA">
      <w:pPr>
        <w:keepNext/>
        <w:spacing w:after="120" w:line="480" w:lineRule="auto"/>
        <w:rPr>
          <w:rFonts w:cs="Arial"/>
          <w:b/>
          <w:sz w:val="24"/>
          <w:szCs w:val="24"/>
        </w:rPr>
      </w:pPr>
      <w:r w:rsidRPr="00725E72">
        <w:rPr>
          <w:rFonts w:cs="Arial"/>
          <w:b/>
          <w:sz w:val="24"/>
          <w:szCs w:val="24"/>
        </w:rPr>
        <w:t>RESULTS</w:t>
      </w:r>
    </w:p>
    <w:p w:rsidR="000450E2" w:rsidRPr="00725E72" w:rsidRDefault="000450E2" w:rsidP="002153AA">
      <w:pPr>
        <w:spacing w:after="120" w:line="480" w:lineRule="auto"/>
        <w:rPr>
          <w:rFonts w:cs="Arial"/>
          <w:sz w:val="24"/>
          <w:szCs w:val="24"/>
        </w:rPr>
      </w:pPr>
      <w:r w:rsidRPr="00725E72">
        <w:rPr>
          <w:rFonts w:cs="Arial"/>
          <w:sz w:val="24"/>
          <w:szCs w:val="24"/>
        </w:rPr>
        <w:t xml:space="preserve">Of the 18,885 patients in the </w:t>
      </w:r>
      <w:proofErr w:type="spellStart"/>
      <w:r w:rsidRPr="00725E72">
        <w:rPr>
          <w:rFonts w:cs="Arial"/>
          <w:sz w:val="24"/>
          <w:szCs w:val="24"/>
        </w:rPr>
        <w:t>MSBase</w:t>
      </w:r>
      <w:proofErr w:type="spellEnd"/>
      <w:r w:rsidRPr="00725E72">
        <w:rPr>
          <w:rFonts w:cs="Arial"/>
          <w:sz w:val="24"/>
          <w:szCs w:val="24"/>
        </w:rPr>
        <w:t xml:space="preserve"> registry (17,021 with relapse-onset MS, 1018 with primary progressive MS and 846 with the information about disease course missing), data from 11,570 relapse-onset and 881 (7%) primary progressive patients fulfilled the inclusion criteria (Figure 1). The female-to-male ratio among the excluded patients (n = 6434) was 2.4:1 (4516 females, 1918 males, in no instance the information about patient sex was missing). Tables 1 and 2 show demographic and clinical characteristics of the included patients with relapse-onset and primary progressive MS, respectively. Patient characteristics were comparable between females and males, including visit frequency, with only marginally shorter disease duration and larger end-of-follow-up disability among males. </w:t>
      </w:r>
    </w:p>
    <w:p w:rsidR="000450E2" w:rsidRPr="00725E72" w:rsidRDefault="000450E2" w:rsidP="002153AA">
      <w:pPr>
        <w:spacing w:after="120" w:line="480" w:lineRule="auto"/>
        <w:rPr>
          <w:rFonts w:cs="Arial"/>
          <w:sz w:val="24"/>
          <w:szCs w:val="24"/>
        </w:rPr>
      </w:pPr>
      <w:r w:rsidRPr="00725E72">
        <w:rPr>
          <w:rFonts w:cs="Arial"/>
          <w:sz w:val="24"/>
          <w:szCs w:val="24"/>
        </w:rPr>
        <w:t xml:space="preserve">Numbers of patients with relapse-onset MS included in the analysis stratified by disease duration and age are shown in Figure 2A and B. In 82,552 patient-years of observation recorded among the relapse-onset patients, 48,362 relapses were recorded. Of these, 42% were concurrent with clinical visits. Figure 2C and D shows unadjusted ARR with respect to disease duration and age. Within the first year of MS, the relapse rate was relatively high (1.1 relapse / year), which was a result of its inflation by inclusion of the first recorded relapse. Thereafter, the ARR gradually decreased from 0.5 at 2 years to 0.1 at 40 years. Also, a marked decline in ARR with age was seen, when ARR decreased from 0.9 at the age 17 to 0.1 at the age 70. Importantly, females tended to show higher unadjusted ARR during the initial 18 years of MS duration and between 27 and 49 years of age. These differences were </w:t>
      </w:r>
      <w:r w:rsidRPr="00725E72">
        <w:rPr>
          <w:rFonts w:cs="Arial"/>
          <w:sz w:val="24"/>
          <w:szCs w:val="24"/>
        </w:rPr>
        <w:lastRenderedPageBreak/>
        <w:t>further enhanced by adjusting the ARR for MS duration / patient age, pregnancy and treatment (Figure 2E and F). Females showed consistently higher adjusted ARR (on average by 17.7%, 95% confidence interval = 15.1 – 20.3%) than males throughout the disease duration and at every chronological age (risk ratio = 1.08, 95% confidence interval = 1.06 – 1.11, p ≤10</w:t>
      </w:r>
      <w:r w:rsidRPr="00725E72">
        <w:rPr>
          <w:rFonts w:cs="Arial"/>
          <w:sz w:val="24"/>
          <w:szCs w:val="24"/>
          <w:vertAlign w:val="superscript"/>
        </w:rPr>
        <w:t>-16</w:t>
      </w:r>
      <w:r w:rsidRPr="00725E72">
        <w:rPr>
          <w:rFonts w:cs="Arial"/>
          <w:sz w:val="24"/>
          <w:szCs w:val="24"/>
        </w:rPr>
        <w:t xml:space="preserve">, </w:t>
      </w:r>
      <w:proofErr w:type="spellStart"/>
      <w:r w:rsidRPr="00725E72">
        <w:rPr>
          <w:rFonts w:cs="Arial"/>
          <w:sz w:val="24"/>
          <w:szCs w:val="24"/>
        </w:rPr>
        <w:t>Tweedie</w:t>
      </w:r>
      <w:proofErr w:type="spellEnd"/>
      <w:r w:rsidRPr="00725E72">
        <w:rPr>
          <w:rFonts w:cs="Arial"/>
          <w:sz w:val="24"/>
          <w:szCs w:val="24"/>
        </w:rPr>
        <w:t xml:space="preserve"> models), with a relative decrease in this difference at long MS durations or at an older age. Accordingly, the cumulative hazard of relapses (see Figure 2G and H) was consistently higher among females and reached 9.3 (95% confidence interval = 9.1-9.5) in women and 8.4 (95% confidence interval = 8.1-8.7) in men at 40 years after MS onset (hazard ratio = 1.1, 95% confidence interval = 1.05 - 1.14, p = 10</w:t>
      </w:r>
      <w:r w:rsidRPr="00725E72">
        <w:rPr>
          <w:rFonts w:cs="Arial"/>
          <w:sz w:val="24"/>
          <w:szCs w:val="24"/>
          <w:vertAlign w:val="superscript"/>
        </w:rPr>
        <w:t>-5</w:t>
      </w:r>
      <w:r w:rsidRPr="00725E72">
        <w:rPr>
          <w:rFonts w:cs="Arial"/>
          <w:sz w:val="24"/>
          <w:szCs w:val="24"/>
        </w:rPr>
        <w:t>, Andersen-Gill model). At the age of 70, the cumulative hazard reached 28.5 (95% confidence interval = 26.6-30.7) in women and 26.7 (95% confidence interval = 24.7 – 28.8) in men (hazard ratio = 1.1, 95% confidence interval = 1.07 - 1.14, p &lt; 10</w:t>
      </w:r>
      <w:r w:rsidRPr="00725E72">
        <w:rPr>
          <w:rFonts w:cs="Arial"/>
          <w:sz w:val="24"/>
          <w:szCs w:val="24"/>
          <w:vertAlign w:val="superscript"/>
        </w:rPr>
        <w:t>-12</w:t>
      </w:r>
      <w:r w:rsidRPr="00725E72">
        <w:rPr>
          <w:rFonts w:cs="Arial"/>
          <w:sz w:val="24"/>
          <w:szCs w:val="24"/>
        </w:rPr>
        <w:t>, Andersen-Gill model).</w:t>
      </w:r>
    </w:p>
    <w:p w:rsidR="000450E2" w:rsidRPr="00725E72" w:rsidRDefault="000450E2" w:rsidP="002153AA">
      <w:pPr>
        <w:spacing w:after="120" w:line="480" w:lineRule="auto"/>
        <w:rPr>
          <w:rFonts w:cs="Arial"/>
          <w:sz w:val="24"/>
          <w:szCs w:val="24"/>
        </w:rPr>
      </w:pPr>
      <w:r w:rsidRPr="00725E72">
        <w:rPr>
          <w:rFonts w:cs="Arial"/>
          <w:sz w:val="24"/>
          <w:szCs w:val="24"/>
        </w:rPr>
        <w:t>These observations in relapse-onset MS were further confirmed by the fact that the female-to-male ratio was higher among the patients with higher annual relapse count (see Figure 3, β = 0.03, p &lt; 10</w:t>
      </w:r>
      <w:r w:rsidRPr="00725E72">
        <w:rPr>
          <w:rFonts w:cs="Arial"/>
          <w:sz w:val="24"/>
          <w:szCs w:val="24"/>
          <w:vertAlign w:val="superscript"/>
        </w:rPr>
        <w:t>-12</w:t>
      </w:r>
      <w:r w:rsidRPr="00725E72">
        <w:rPr>
          <w:rFonts w:cs="Arial"/>
          <w:sz w:val="24"/>
          <w:szCs w:val="24"/>
        </w:rPr>
        <w:t>, logistic mixed models). Within the initial five years of disease onset, the ratio increased from 2.3:1 in patients with no relapses to 3.3:1 in patients with at least four relapses per year. Interestingly, this effect was accentuated by longer disease duration, as the sex ratio among the frequently relapsing patients exceeded 4:1 (interaction term p &lt; 10</w:t>
      </w:r>
      <w:r w:rsidRPr="00725E72">
        <w:rPr>
          <w:rFonts w:cs="Arial"/>
          <w:sz w:val="24"/>
          <w:szCs w:val="24"/>
          <w:vertAlign w:val="superscript"/>
        </w:rPr>
        <w:t>-12</w:t>
      </w:r>
      <w:r w:rsidRPr="00725E72">
        <w:rPr>
          <w:rFonts w:cs="Arial"/>
          <w:sz w:val="24"/>
          <w:szCs w:val="24"/>
        </w:rPr>
        <w:t>, logistic mixed model). A similar interaction effect was seen for age (p &lt; 10</w:t>
      </w:r>
      <w:r w:rsidRPr="00725E72">
        <w:rPr>
          <w:rFonts w:cs="Arial"/>
          <w:sz w:val="24"/>
          <w:szCs w:val="24"/>
          <w:vertAlign w:val="superscript"/>
        </w:rPr>
        <w:t>-12</w:t>
      </w:r>
      <w:r w:rsidRPr="00725E72">
        <w:rPr>
          <w:rFonts w:cs="Arial"/>
          <w:sz w:val="24"/>
          <w:szCs w:val="24"/>
        </w:rPr>
        <w:t xml:space="preserve">, logistic mixed model). Overall, the sex ratios stratified by disease course were 2.1:1 for clinically isolated syndrome (as defined by the McDonald 2005 criteria </w:t>
      </w:r>
      <w:r w:rsidRPr="00725E72">
        <w:rPr>
          <w:rFonts w:cs="Arial"/>
          <w:noProof/>
          <w:sz w:val="24"/>
          <w:szCs w:val="24"/>
        </w:rPr>
        <w:t>(Polman</w:t>
      </w:r>
      <w:r w:rsidRPr="00725E72">
        <w:rPr>
          <w:rFonts w:cs="Arial"/>
          <w:i/>
          <w:noProof/>
          <w:sz w:val="24"/>
          <w:szCs w:val="24"/>
        </w:rPr>
        <w:t xml:space="preserve"> et al.</w:t>
      </w:r>
      <w:r w:rsidRPr="00725E72">
        <w:rPr>
          <w:rFonts w:cs="Arial"/>
          <w:noProof/>
          <w:sz w:val="24"/>
          <w:szCs w:val="24"/>
        </w:rPr>
        <w:t>, 2005)</w:t>
      </w:r>
      <w:r w:rsidRPr="00725E72">
        <w:rPr>
          <w:rFonts w:cs="Arial"/>
          <w:sz w:val="24"/>
          <w:szCs w:val="24"/>
        </w:rPr>
        <w:t xml:space="preserve">), 2.8:1 for relapsing remitting MS, 2.2:1 for secondary progressive MS and 1.3:1 for relapsing progressive MS. Compared to the patients with relapse-onset MS, the population diagnosed with primary progressive disease showed a significantly lower female-to-male ratio across </w:t>
      </w:r>
      <w:r w:rsidRPr="00725E72">
        <w:rPr>
          <w:rFonts w:cs="Arial"/>
          <w:sz w:val="24"/>
          <w:szCs w:val="24"/>
        </w:rPr>
        <w:lastRenderedPageBreak/>
        <w:t>all disease durations or patient age groups - approximately 1.2:1 (β = 1.13 – 1.16, p &lt; 10</w:t>
      </w:r>
      <w:r w:rsidRPr="00725E72">
        <w:rPr>
          <w:rFonts w:cs="Arial"/>
          <w:sz w:val="24"/>
          <w:szCs w:val="24"/>
          <w:vertAlign w:val="superscript"/>
        </w:rPr>
        <w:t>-12</w:t>
      </w:r>
      <w:r w:rsidRPr="00725E72">
        <w:rPr>
          <w:rFonts w:cs="Arial"/>
          <w:sz w:val="24"/>
          <w:szCs w:val="24"/>
        </w:rPr>
        <w:t>, logistic mixed model; see Figure 3). In fact, the female-to-male ratio in patients with relapse-onset MS and zero relapses in any given year was 2:1 and therefore almost double that of the patients with primary progressive MS. In a subgroup analysis including 2969 patients with relapse-onset MS and data recorded over at least 10 years, the sex ratio increased from 2.2:1 in those with zero overall relapses</w:t>
      </w:r>
      <w:r w:rsidRPr="00725E72">
        <w:rPr>
          <w:rFonts w:cs="Arial"/>
          <w:sz w:val="24"/>
          <w:szCs w:val="24"/>
          <w:vertAlign w:val="superscript"/>
        </w:rPr>
        <w:t>†</w:t>
      </w:r>
      <w:r w:rsidRPr="00725E72">
        <w:rPr>
          <w:rFonts w:cs="Arial"/>
          <w:sz w:val="24"/>
          <w:szCs w:val="24"/>
        </w:rPr>
        <w:t xml:space="preserve"> to 3.2:1 in those with 8 or more relapses captured during their 10-year follow-up (see Figure 4). In 881 patients with primary progressive MS (and therefore no recorded relapses) regardless of the duration of their follow-up, the female-to-male ratio was 1.2:1.</w:t>
      </w:r>
    </w:p>
    <w:p w:rsidR="000450E2" w:rsidRPr="00725E72" w:rsidRDefault="000450E2" w:rsidP="002153AA">
      <w:pPr>
        <w:spacing w:after="120" w:line="480" w:lineRule="auto"/>
        <w:rPr>
          <w:rFonts w:cs="Arial"/>
          <w:sz w:val="24"/>
          <w:szCs w:val="24"/>
        </w:rPr>
      </w:pPr>
      <w:r w:rsidRPr="00725E72">
        <w:rPr>
          <w:rFonts w:cs="Arial"/>
          <w:sz w:val="24"/>
          <w:szCs w:val="24"/>
        </w:rPr>
        <w:t>Among the patients with relapse-onset MS, the incidence of relapses declined with both MS duration (by 0.01 per year, 95% confidence interval = 0.0001 – 0.03) and patient age (by 0.01 per year, 95% confidence interval = 0.006 – 0.02). This was confirmed by the adjusted Andersen-Gill models (MS duration: hazard ratio = 0.87, 95% confidence interval = 0.864 – 0.872, p &lt; 10</w:t>
      </w:r>
      <w:r w:rsidRPr="00725E72">
        <w:rPr>
          <w:rFonts w:cs="Arial"/>
          <w:sz w:val="24"/>
          <w:szCs w:val="24"/>
          <w:vertAlign w:val="superscript"/>
        </w:rPr>
        <w:t>-12</w:t>
      </w:r>
      <w:r w:rsidRPr="00725E72">
        <w:rPr>
          <w:rFonts w:cs="Arial"/>
          <w:sz w:val="24"/>
          <w:szCs w:val="24"/>
        </w:rPr>
        <w:t>; age: hazard ratio = 0.95, 95% confidence interval = 0.949 – 0.953, p &lt; 10</w:t>
      </w:r>
      <w:r w:rsidRPr="00725E72">
        <w:rPr>
          <w:rFonts w:cs="Arial"/>
          <w:sz w:val="24"/>
          <w:szCs w:val="24"/>
          <w:vertAlign w:val="superscript"/>
        </w:rPr>
        <w:t>-12</w:t>
      </w:r>
      <w:r w:rsidRPr="00725E72">
        <w:rPr>
          <w:rFonts w:cs="Arial"/>
          <w:sz w:val="24"/>
          <w:szCs w:val="24"/>
        </w:rPr>
        <w:t xml:space="preserve">). The two separate </w:t>
      </w:r>
      <w:proofErr w:type="spellStart"/>
      <w:r w:rsidRPr="00725E72">
        <w:rPr>
          <w:rFonts w:cs="Arial"/>
          <w:sz w:val="24"/>
          <w:szCs w:val="24"/>
        </w:rPr>
        <w:t>Tweedie</w:t>
      </w:r>
      <w:proofErr w:type="spellEnd"/>
      <w:r w:rsidRPr="00725E72">
        <w:rPr>
          <w:rFonts w:cs="Arial"/>
          <w:sz w:val="24"/>
          <w:szCs w:val="24"/>
        </w:rPr>
        <w:t xml:space="preserve"> models (dispersion parameters = 0.52 and 0.51) further confirmed the significant effects of MS duration (rate ratio = 0.99, 95% confidence interval = 0.992 – 0.996, p = 10</w:t>
      </w:r>
      <w:r w:rsidRPr="00725E72">
        <w:rPr>
          <w:rFonts w:cs="Arial"/>
          <w:sz w:val="24"/>
          <w:szCs w:val="24"/>
          <w:vertAlign w:val="superscript"/>
        </w:rPr>
        <w:t>-11</w:t>
      </w:r>
      <w:r w:rsidRPr="00725E72">
        <w:rPr>
          <w:rFonts w:cs="Arial"/>
          <w:sz w:val="24"/>
          <w:szCs w:val="24"/>
        </w:rPr>
        <w:t>) and age (rate ratio = 0.98, 95% confidence interval = 0.982 – 0.985, p &lt; 10</w:t>
      </w:r>
      <w:r w:rsidRPr="00725E72">
        <w:rPr>
          <w:rFonts w:cs="Arial"/>
          <w:sz w:val="24"/>
          <w:szCs w:val="24"/>
          <w:vertAlign w:val="superscript"/>
        </w:rPr>
        <w:t>-12</w:t>
      </w:r>
      <w:r w:rsidRPr="00725E72">
        <w:rPr>
          <w:rFonts w:cs="Arial"/>
          <w:sz w:val="24"/>
          <w:szCs w:val="24"/>
        </w:rPr>
        <w:t xml:space="preserve">) on ARR. Interestingly, in the final </w:t>
      </w:r>
      <w:proofErr w:type="spellStart"/>
      <w:r w:rsidRPr="00725E72">
        <w:rPr>
          <w:rFonts w:cs="Arial"/>
          <w:sz w:val="24"/>
          <w:szCs w:val="24"/>
        </w:rPr>
        <w:t>Tweedie</w:t>
      </w:r>
      <w:proofErr w:type="spellEnd"/>
      <w:r w:rsidRPr="00725E72">
        <w:rPr>
          <w:rFonts w:cs="Arial"/>
          <w:sz w:val="24"/>
          <w:szCs w:val="24"/>
        </w:rPr>
        <w:t xml:space="preserve"> model containing both MS duration and patient age (dispersion parameter = 0.51), only the patient age was found to have an independent negative association with ARR (rate ratio = 0.98, 95% confidence interval = 0.979 – 0.983, p &lt; 10</w:t>
      </w:r>
      <w:r w:rsidRPr="00725E72">
        <w:rPr>
          <w:rFonts w:cs="Arial"/>
          <w:sz w:val="24"/>
          <w:szCs w:val="24"/>
          <w:vertAlign w:val="superscript"/>
        </w:rPr>
        <w:t>-12</w:t>
      </w:r>
      <w:r w:rsidRPr="00725E72">
        <w:rPr>
          <w:rFonts w:cs="Arial"/>
          <w:sz w:val="24"/>
          <w:szCs w:val="24"/>
        </w:rPr>
        <w:t>).</w:t>
      </w:r>
    </w:p>
    <w:p w:rsidR="000450E2" w:rsidRPr="00725E72" w:rsidRDefault="000450E2" w:rsidP="002153AA">
      <w:pPr>
        <w:spacing w:after="120" w:line="480" w:lineRule="auto"/>
        <w:rPr>
          <w:rFonts w:cs="Arial"/>
          <w:sz w:val="24"/>
          <w:szCs w:val="24"/>
        </w:rPr>
      </w:pPr>
    </w:p>
    <w:p w:rsidR="000450E2" w:rsidRPr="00725E72" w:rsidRDefault="000450E2" w:rsidP="002153AA">
      <w:pPr>
        <w:keepNext/>
        <w:spacing w:after="120" w:line="480" w:lineRule="auto"/>
        <w:rPr>
          <w:rFonts w:cs="Arial"/>
          <w:b/>
          <w:sz w:val="24"/>
          <w:szCs w:val="24"/>
        </w:rPr>
      </w:pPr>
      <w:r w:rsidRPr="00725E72">
        <w:rPr>
          <w:rFonts w:cs="Arial"/>
          <w:b/>
          <w:sz w:val="24"/>
          <w:szCs w:val="24"/>
        </w:rPr>
        <w:lastRenderedPageBreak/>
        <w:t>DISCUSSION</w:t>
      </w:r>
    </w:p>
    <w:p w:rsidR="000450E2" w:rsidRPr="00725E72" w:rsidRDefault="000450E2" w:rsidP="002153AA">
      <w:pPr>
        <w:spacing w:after="120" w:line="480" w:lineRule="auto"/>
        <w:rPr>
          <w:rFonts w:cs="Arial"/>
          <w:sz w:val="24"/>
          <w:szCs w:val="24"/>
        </w:rPr>
      </w:pPr>
      <w:r w:rsidRPr="00725E72">
        <w:rPr>
          <w:rFonts w:cs="Arial"/>
          <w:sz w:val="24"/>
          <w:szCs w:val="24"/>
        </w:rPr>
        <w:t xml:space="preserve">In a large mostly contemporary population of patients followed in the </w:t>
      </w:r>
      <w:proofErr w:type="spellStart"/>
      <w:r w:rsidRPr="00725E72">
        <w:rPr>
          <w:rFonts w:cs="Arial"/>
          <w:sz w:val="24"/>
          <w:szCs w:val="24"/>
        </w:rPr>
        <w:t>MSBase</w:t>
      </w:r>
      <w:proofErr w:type="spellEnd"/>
      <w:r w:rsidRPr="00725E72">
        <w:rPr>
          <w:rFonts w:cs="Arial"/>
          <w:sz w:val="24"/>
          <w:szCs w:val="24"/>
        </w:rPr>
        <w:t xml:space="preserve"> registry, women have a higher relapse rate than men throughout the course of MS. The sex ratio in progressive-onset forms of MS is markedly different from that in relapse onset MS and is discrete from the gradient determined by the relapse frequency. We have confirmed a strong inverse relationship between relapse frequency and either disease duration or age. Of these two collinear factors, chronological age is more closely related to the relapse incidence.</w:t>
      </w:r>
    </w:p>
    <w:p w:rsidR="000450E2" w:rsidRPr="00725E72" w:rsidRDefault="000450E2" w:rsidP="002153AA">
      <w:pPr>
        <w:spacing w:after="120" w:line="480" w:lineRule="auto"/>
        <w:rPr>
          <w:rFonts w:cs="Arial"/>
          <w:sz w:val="24"/>
          <w:szCs w:val="24"/>
        </w:rPr>
      </w:pPr>
      <w:r w:rsidRPr="00725E72">
        <w:rPr>
          <w:rFonts w:cs="Arial"/>
          <w:sz w:val="24"/>
          <w:szCs w:val="24"/>
        </w:rPr>
        <w:t xml:space="preserve">In the only available retrospective cohort study of predictors of relapse incidence, </w:t>
      </w:r>
      <w:proofErr w:type="spellStart"/>
      <w:r w:rsidRPr="00725E72">
        <w:rPr>
          <w:rFonts w:cs="Arial"/>
          <w:sz w:val="24"/>
          <w:szCs w:val="24"/>
        </w:rPr>
        <w:t>Tremlett</w:t>
      </w:r>
      <w:proofErr w:type="spellEnd"/>
      <w:r w:rsidRPr="00725E72">
        <w:rPr>
          <w:rFonts w:cs="Arial"/>
          <w:sz w:val="24"/>
          <w:szCs w:val="24"/>
        </w:rPr>
        <w:t xml:space="preserve"> and colleagues showed that women had 14.3% higher ARR than men </w:t>
      </w:r>
      <w:r w:rsidRPr="00725E72">
        <w:rPr>
          <w:rFonts w:cs="Arial"/>
          <w:noProof/>
          <w:sz w:val="24"/>
          <w:szCs w:val="24"/>
        </w:rPr>
        <w:t>(Tremlett</w:t>
      </w:r>
      <w:r w:rsidRPr="00725E72">
        <w:rPr>
          <w:rFonts w:cs="Arial"/>
          <w:i/>
          <w:noProof/>
          <w:sz w:val="24"/>
          <w:szCs w:val="24"/>
        </w:rPr>
        <w:t xml:space="preserve"> et al.</w:t>
      </w:r>
      <w:r w:rsidRPr="00725E72">
        <w:rPr>
          <w:rFonts w:cs="Arial"/>
          <w:noProof/>
          <w:sz w:val="24"/>
          <w:szCs w:val="24"/>
        </w:rPr>
        <w:t>, 2008)</w:t>
      </w:r>
      <w:r w:rsidRPr="00725E72">
        <w:rPr>
          <w:rFonts w:cs="Arial"/>
          <w:sz w:val="24"/>
          <w:szCs w:val="24"/>
        </w:rPr>
        <w:t>.</w:t>
      </w:r>
      <w:hyperlink w:anchor="_ENREF_12" w:tooltip="Tremlett, 2008 #2299" w:history="1"/>
      <w:r w:rsidRPr="00725E72">
        <w:rPr>
          <w:rFonts w:cs="Arial"/>
          <w:sz w:val="24"/>
          <w:szCs w:val="24"/>
        </w:rPr>
        <w:t xml:space="preserve"> We have confirmed this observation by demonstrating a similar sex effect of 17.7%. Compared to </w:t>
      </w:r>
      <w:proofErr w:type="spellStart"/>
      <w:r w:rsidRPr="00725E72">
        <w:rPr>
          <w:rFonts w:cs="Arial"/>
          <w:sz w:val="24"/>
          <w:szCs w:val="24"/>
        </w:rPr>
        <w:t>Tremlett</w:t>
      </w:r>
      <w:proofErr w:type="spellEnd"/>
      <w:r w:rsidRPr="00725E72">
        <w:rPr>
          <w:rFonts w:cs="Arial"/>
          <w:sz w:val="24"/>
          <w:szCs w:val="24"/>
        </w:rPr>
        <w:t xml:space="preserve"> et al., our recorded ARR was approximately double (0.59 vs. 0.23, range 0.1-0.9 vs. 0.08-0.29 depending on patient age, respectively), despite the presumed higher proportion of patients receiving disease modifying treatment. This could be attributed to the inclusion of the first clinical episodes in the relapse count in our study and the near real-time data entry in the </w:t>
      </w:r>
      <w:proofErr w:type="spellStart"/>
      <w:r w:rsidRPr="00725E72">
        <w:rPr>
          <w:rFonts w:cs="Arial"/>
          <w:sz w:val="24"/>
          <w:szCs w:val="24"/>
        </w:rPr>
        <w:t>MSBase</w:t>
      </w:r>
      <w:proofErr w:type="spellEnd"/>
      <w:r w:rsidRPr="00725E72">
        <w:rPr>
          <w:rFonts w:cs="Arial"/>
          <w:sz w:val="24"/>
          <w:szCs w:val="24"/>
        </w:rPr>
        <w:t xml:space="preserve"> registry, which could have partially ameliorated the expected under-reporting of relapses.</w:t>
      </w:r>
    </w:p>
    <w:p w:rsidR="000450E2" w:rsidRPr="00725E72" w:rsidRDefault="000450E2" w:rsidP="002153AA">
      <w:pPr>
        <w:spacing w:after="120" w:line="480" w:lineRule="auto"/>
        <w:rPr>
          <w:rFonts w:cs="Arial"/>
          <w:sz w:val="24"/>
          <w:szCs w:val="24"/>
        </w:rPr>
      </w:pPr>
      <w:r w:rsidRPr="00725E72">
        <w:rPr>
          <w:rFonts w:cs="Arial"/>
          <w:sz w:val="24"/>
          <w:szCs w:val="24"/>
        </w:rPr>
        <w:t xml:space="preserve">Other literature reporting incidence of relapses in MS only describes relatively short follow-up periods. A series of studies identified young age </w:t>
      </w:r>
      <w:r w:rsidRPr="00725E72">
        <w:rPr>
          <w:rFonts w:cs="Arial"/>
          <w:noProof/>
          <w:sz w:val="24"/>
          <w:szCs w:val="24"/>
        </w:rPr>
        <w:t>(Mowry</w:t>
      </w:r>
      <w:r w:rsidRPr="00725E72">
        <w:rPr>
          <w:rFonts w:cs="Arial"/>
          <w:i/>
          <w:noProof/>
          <w:sz w:val="24"/>
          <w:szCs w:val="24"/>
        </w:rPr>
        <w:t xml:space="preserve"> et al.</w:t>
      </w:r>
      <w:r w:rsidRPr="00725E72">
        <w:rPr>
          <w:rFonts w:cs="Arial"/>
          <w:noProof/>
          <w:sz w:val="24"/>
          <w:szCs w:val="24"/>
        </w:rPr>
        <w:t>, 2009; West</w:t>
      </w:r>
      <w:r w:rsidRPr="00725E72">
        <w:rPr>
          <w:rFonts w:cs="Arial"/>
          <w:i/>
          <w:noProof/>
          <w:sz w:val="24"/>
          <w:szCs w:val="24"/>
        </w:rPr>
        <w:t xml:space="preserve"> et al.</w:t>
      </w:r>
      <w:r w:rsidRPr="00725E72">
        <w:rPr>
          <w:rFonts w:cs="Arial"/>
          <w:noProof/>
          <w:sz w:val="24"/>
          <w:szCs w:val="24"/>
        </w:rPr>
        <w:t>, 2006)</w:t>
      </w:r>
      <w:r w:rsidRPr="00725E72">
        <w:rPr>
          <w:rFonts w:cs="Arial"/>
          <w:sz w:val="24"/>
          <w:szCs w:val="24"/>
        </w:rPr>
        <w:t xml:space="preserve"> and short disease duration </w:t>
      </w:r>
      <w:r w:rsidRPr="00725E72">
        <w:rPr>
          <w:rFonts w:cs="Arial"/>
          <w:noProof/>
          <w:sz w:val="24"/>
          <w:szCs w:val="24"/>
        </w:rPr>
        <w:t>(Held</w:t>
      </w:r>
      <w:r w:rsidRPr="00725E72">
        <w:rPr>
          <w:rFonts w:cs="Arial"/>
          <w:i/>
          <w:noProof/>
          <w:sz w:val="24"/>
          <w:szCs w:val="24"/>
        </w:rPr>
        <w:t xml:space="preserve"> et al.</w:t>
      </w:r>
      <w:r w:rsidRPr="00725E72">
        <w:rPr>
          <w:rFonts w:cs="Arial"/>
          <w:noProof/>
          <w:sz w:val="24"/>
          <w:szCs w:val="24"/>
        </w:rPr>
        <w:t>, 2005)</w:t>
      </w:r>
      <w:r w:rsidRPr="00725E72">
        <w:rPr>
          <w:rFonts w:cs="Arial"/>
          <w:sz w:val="24"/>
          <w:szCs w:val="24"/>
        </w:rPr>
        <w:t xml:space="preserve"> but not sex as being independently predictive of higher relapse incidence during one-year observational periods. The discrepancies between these studies and our present analysis could be explained by the differences in statistical power determined by the size of the cohorts and the analytical designs. With </w:t>
      </w:r>
      <w:r w:rsidRPr="00725E72">
        <w:rPr>
          <w:rFonts w:cs="Arial"/>
          <w:sz w:val="24"/>
          <w:szCs w:val="24"/>
        </w:rPr>
        <w:lastRenderedPageBreak/>
        <w:t>respect to the low effect-to-noise ratio, the other studies were most probably underpowered to assess the effect of sex, as they only evaluated information derived from 105 – 727 patient-years.</w:t>
      </w:r>
    </w:p>
    <w:p w:rsidR="000450E2" w:rsidRPr="00725E72" w:rsidRDefault="000450E2" w:rsidP="002153AA">
      <w:pPr>
        <w:spacing w:after="120" w:line="480" w:lineRule="auto"/>
        <w:rPr>
          <w:rFonts w:cs="Arial"/>
          <w:sz w:val="24"/>
          <w:szCs w:val="24"/>
        </w:rPr>
      </w:pPr>
      <w:r w:rsidRPr="00725E72">
        <w:rPr>
          <w:rFonts w:cs="Arial"/>
          <w:sz w:val="24"/>
          <w:szCs w:val="24"/>
        </w:rPr>
        <w:t xml:space="preserve">We have seen that women are over-represented among patients with high relapse frequency, in particular later in the disease course and at older chronological age. This suggests that the attenuation of clinically apparent episodic inflammatory activity is delayed in women compared to men. In addition, higher mortality from MS-unrelated causes in men could potentially contribute to this phenomenon; however, the lack of detailed mortality data in the </w:t>
      </w:r>
      <w:proofErr w:type="spellStart"/>
      <w:r w:rsidRPr="00725E72">
        <w:rPr>
          <w:rFonts w:cs="Arial"/>
          <w:sz w:val="24"/>
          <w:szCs w:val="24"/>
        </w:rPr>
        <w:t>MSBase</w:t>
      </w:r>
      <w:proofErr w:type="spellEnd"/>
      <w:r w:rsidRPr="00725E72">
        <w:rPr>
          <w:rFonts w:cs="Arial"/>
          <w:sz w:val="24"/>
          <w:szCs w:val="24"/>
        </w:rPr>
        <w:t xml:space="preserve"> registry prevented the evaluation of this potential confounder. Importantly, the follow-up duration, which did not differ between the enrolled women and men, did not support sex-dependent study drop-out. </w:t>
      </w:r>
    </w:p>
    <w:p w:rsidR="000450E2" w:rsidRPr="00725E72" w:rsidRDefault="000450E2" w:rsidP="002153AA">
      <w:pPr>
        <w:spacing w:after="120" w:line="480" w:lineRule="auto"/>
        <w:rPr>
          <w:rFonts w:cs="Arial"/>
          <w:sz w:val="24"/>
          <w:szCs w:val="24"/>
        </w:rPr>
      </w:pPr>
      <w:r w:rsidRPr="00725E72">
        <w:rPr>
          <w:rFonts w:cs="Arial"/>
          <w:sz w:val="24"/>
          <w:szCs w:val="24"/>
        </w:rPr>
        <w:t xml:space="preserve">The difference in relapse risk associated with sex probably only plays a small role in explaining the reported differences in sex ratios between patients with relapse- and progressive-onset MS </w:t>
      </w:r>
      <w:r w:rsidRPr="00725E72">
        <w:rPr>
          <w:rFonts w:cs="Arial"/>
          <w:noProof/>
          <w:sz w:val="24"/>
          <w:szCs w:val="24"/>
        </w:rPr>
        <w:t>(Confavreux and Vukusic, 2006b; Kampman</w:t>
      </w:r>
      <w:r w:rsidRPr="00725E72">
        <w:rPr>
          <w:rFonts w:cs="Arial"/>
          <w:i/>
          <w:noProof/>
          <w:sz w:val="24"/>
          <w:szCs w:val="24"/>
        </w:rPr>
        <w:t xml:space="preserve"> et al.</w:t>
      </w:r>
      <w:r w:rsidRPr="00725E72">
        <w:rPr>
          <w:rFonts w:cs="Arial"/>
          <w:noProof/>
          <w:sz w:val="24"/>
          <w:szCs w:val="24"/>
        </w:rPr>
        <w:t>, 2013)</w:t>
      </w:r>
      <w:r w:rsidRPr="00725E72">
        <w:rPr>
          <w:rFonts w:cs="Arial"/>
          <w:sz w:val="24"/>
          <w:szCs w:val="24"/>
        </w:rPr>
        <w:t xml:space="preserve">. Since men show less frequent relapse activity throughout the disease course and life span, one could argue that their disease is more likely to be classified as progressive. However, the sex ratio among patients with primary progressive MS is still very distinct from that among patients with relapse-onset MS and no relapse activity observed during the study period (see Figures 3 and 4). Thus, we rejected the hypothesis that sex difference in propensity to relapses is fully accountable for the different sex ratios between relapse- and progressive-onset MS. From this perspective, primary progressive MS can not be viewed as a mere extreme along the continuum of relapse activity in relapsing-remitting MS. </w:t>
      </w:r>
    </w:p>
    <w:p w:rsidR="000450E2" w:rsidRPr="00725E72" w:rsidRDefault="000450E2" w:rsidP="002153AA">
      <w:pPr>
        <w:spacing w:after="120" w:line="480" w:lineRule="auto"/>
        <w:rPr>
          <w:rFonts w:cs="Arial"/>
          <w:sz w:val="24"/>
          <w:szCs w:val="24"/>
        </w:rPr>
      </w:pPr>
      <w:r w:rsidRPr="00725E72">
        <w:rPr>
          <w:rFonts w:cs="Arial"/>
          <w:sz w:val="24"/>
          <w:szCs w:val="24"/>
        </w:rPr>
        <w:lastRenderedPageBreak/>
        <w:t xml:space="preserve">It is of further interest how the relapse incidence interacts with progression of disability. It has been previously suggested that early relapses may be associated with the development of permanent disability </w:t>
      </w:r>
      <w:r w:rsidRPr="00725E72">
        <w:rPr>
          <w:rFonts w:cs="Arial"/>
          <w:noProof/>
          <w:sz w:val="24"/>
          <w:szCs w:val="24"/>
        </w:rPr>
        <w:t>(Hirst</w:t>
      </w:r>
      <w:r w:rsidRPr="00725E72">
        <w:rPr>
          <w:rFonts w:cs="Arial"/>
          <w:i/>
          <w:noProof/>
          <w:sz w:val="24"/>
          <w:szCs w:val="24"/>
        </w:rPr>
        <w:t xml:space="preserve"> et al.</w:t>
      </w:r>
      <w:r w:rsidRPr="00725E72">
        <w:rPr>
          <w:rFonts w:cs="Arial"/>
          <w:noProof/>
          <w:sz w:val="24"/>
          <w:szCs w:val="24"/>
        </w:rPr>
        <w:t>, 2008; Kalincik</w:t>
      </w:r>
      <w:r w:rsidRPr="00725E72">
        <w:rPr>
          <w:rFonts w:cs="Arial"/>
          <w:i/>
          <w:noProof/>
          <w:sz w:val="24"/>
          <w:szCs w:val="24"/>
        </w:rPr>
        <w:t xml:space="preserve"> et al.</w:t>
      </w:r>
      <w:r w:rsidRPr="00725E72">
        <w:rPr>
          <w:rFonts w:cs="Arial"/>
          <w:noProof/>
          <w:sz w:val="24"/>
          <w:szCs w:val="24"/>
        </w:rPr>
        <w:t>, 2012; Leray</w:t>
      </w:r>
      <w:r w:rsidRPr="00725E72">
        <w:rPr>
          <w:rFonts w:cs="Arial"/>
          <w:i/>
          <w:noProof/>
          <w:sz w:val="24"/>
          <w:szCs w:val="24"/>
        </w:rPr>
        <w:t xml:space="preserve"> et al.</w:t>
      </w:r>
      <w:r w:rsidRPr="00725E72">
        <w:rPr>
          <w:rFonts w:cs="Arial"/>
          <w:noProof/>
          <w:sz w:val="24"/>
          <w:szCs w:val="24"/>
        </w:rPr>
        <w:t>, 2010; Lublin</w:t>
      </w:r>
      <w:r w:rsidRPr="00725E72">
        <w:rPr>
          <w:rFonts w:cs="Arial"/>
          <w:i/>
          <w:noProof/>
          <w:sz w:val="24"/>
          <w:szCs w:val="24"/>
        </w:rPr>
        <w:t xml:space="preserve"> et al.</w:t>
      </w:r>
      <w:r w:rsidRPr="00725E72">
        <w:rPr>
          <w:rFonts w:cs="Arial"/>
          <w:noProof/>
          <w:sz w:val="24"/>
          <w:szCs w:val="24"/>
        </w:rPr>
        <w:t>, 2003; Scalfari</w:t>
      </w:r>
      <w:r w:rsidRPr="00725E72">
        <w:rPr>
          <w:rFonts w:cs="Arial"/>
          <w:i/>
          <w:noProof/>
          <w:sz w:val="24"/>
          <w:szCs w:val="24"/>
        </w:rPr>
        <w:t xml:space="preserve"> et al.</w:t>
      </w:r>
      <w:r w:rsidRPr="00725E72">
        <w:rPr>
          <w:rFonts w:cs="Arial"/>
          <w:noProof/>
          <w:sz w:val="24"/>
          <w:szCs w:val="24"/>
        </w:rPr>
        <w:t>, 2010; Tremlett</w:t>
      </w:r>
      <w:r w:rsidRPr="00725E72">
        <w:rPr>
          <w:rFonts w:cs="Arial"/>
          <w:i/>
          <w:noProof/>
          <w:sz w:val="24"/>
          <w:szCs w:val="24"/>
        </w:rPr>
        <w:t xml:space="preserve"> et al.</w:t>
      </w:r>
      <w:r w:rsidRPr="00725E72">
        <w:rPr>
          <w:rFonts w:cs="Arial"/>
          <w:noProof/>
          <w:sz w:val="24"/>
          <w:szCs w:val="24"/>
        </w:rPr>
        <w:t>, 2009)</w:t>
      </w:r>
      <w:r w:rsidRPr="00725E72">
        <w:rPr>
          <w:rFonts w:cs="Arial"/>
          <w:sz w:val="24"/>
          <w:szCs w:val="24"/>
        </w:rPr>
        <w:t>.</w:t>
      </w:r>
      <w:hyperlink w:anchor="_ENREF_14" w:tooltip="Confavreux, 2000 #1895" w:history="1"/>
      <w:r w:rsidRPr="00725E72">
        <w:rPr>
          <w:rFonts w:cs="Arial"/>
          <w:sz w:val="24"/>
          <w:szCs w:val="24"/>
        </w:rPr>
        <w:t xml:space="preserve"> There is also evidence both supporting </w:t>
      </w:r>
      <w:r w:rsidRPr="00725E72">
        <w:rPr>
          <w:rFonts w:cs="Arial"/>
          <w:noProof/>
          <w:sz w:val="24"/>
          <w:szCs w:val="24"/>
        </w:rPr>
        <w:t>(Confavreux and Vukusic, 2006a; Confavreux</w:t>
      </w:r>
      <w:r w:rsidRPr="00725E72">
        <w:rPr>
          <w:rFonts w:cs="Arial"/>
          <w:i/>
          <w:noProof/>
          <w:sz w:val="24"/>
          <w:szCs w:val="24"/>
        </w:rPr>
        <w:t xml:space="preserve"> et al.</w:t>
      </w:r>
      <w:r w:rsidRPr="00725E72">
        <w:rPr>
          <w:rFonts w:cs="Arial"/>
          <w:noProof/>
          <w:sz w:val="24"/>
          <w:szCs w:val="24"/>
        </w:rPr>
        <w:t>, 2003; Leray</w:t>
      </w:r>
      <w:r w:rsidRPr="00725E72">
        <w:rPr>
          <w:rFonts w:cs="Arial"/>
          <w:i/>
          <w:noProof/>
          <w:sz w:val="24"/>
          <w:szCs w:val="24"/>
        </w:rPr>
        <w:t xml:space="preserve"> et al.</w:t>
      </w:r>
      <w:r w:rsidRPr="00725E72">
        <w:rPr>
          <w:rFonts w:cs="Arial"/>
          <w:noProof/>
          <w:sz w:val="24"/>
          <w:szCs w:val="24"/>
        </w:rPr>
        <w:t>, 2010)</w:t>
      </w:r>
      <w:r w:rsidRPr="00725E72">
        <w:rPr>
          <w:rFonts w:cs="Arial"/>
          <w:sz w:val="24"/>
          <w:szCs w:val="24"/>
        </w:rPr>
        <w:t xml:space="preserve"> and opposing </w:t>
      </w:r>
      <w:r w:rsidRPr="00725E72">
        <w:rPr>
          <w:rFonts w:cs="Arial"/>
          <w:noProof/>
          <w:sz w:val="24"/>
          <w:szCs w:val="24"/>
        </w:rPr>
        <w:t>(Amato</w:t>
      </w:r>
      <w:r w:rsidRPr="00725E72">
        <w:rPr>
          <w:rFonts w:cs="Arial"/>
          <w:i/>
          <w:noProof/>
          <w:sz w:val="24"/>
          <w:szCs w:val="24"/>
        </w:rPr>
        <w:t xml:space="preserve"> et al.</w:t>
      </w:r>
      <w:r w:rsidRPr="00725E72">
        <w:rPr>
          <w:rFonts w:cs="Arial"/>
          <w:noProof/>
          <w:sz w:val="24"/>
          <w:szCs w:val="24"/>
        </w:rPr>
        <w:t>, 1999; Simone</w:t>
      </w:r>
      <w:r w:rsidRPr="00725E72">
        <w:rPr>
          <w:rFonts w:cs="Arial"/>
          <w:i/>
          <w:noProof/>
          <w:sz w:val="24"/>
          <w:szCs w:val="24"/>
        </w:rPr>
        <w:t xml:space="preserve"> et al.</w:t>
      </w:r>
      <w:r w:rsidRPr="00725E72">
        <w:rPr>
          <w:rFonts w:cs="Arial"/>
          <w:noProof/>
          <w:sz w:val="24"/>
          <w:szCs w:val="24"/>
        </w:rPr>
        <w:t>, 2002; Trojano</w:t>
      </w:r>
      <w:r w:rsidRPr="00725E72">
        <w:rPr>
          <w:rFonts w:cs="Arial"/>
          <w:i/>
          <w:noProof/>
          <w:sz w:val="24"/>
          <w:szCs w:val="24"/>
        </w:rPr>
        <w:t xml:space="preserve"> et al.</w:t>
      </w:r>
      <w:r w:rsidRPr="00725E72">
        <w:rPr>
          <w:rFonts w:cs="Arial"/>
          <w:noProof/>
          <w:sz w:val="24"/>
          <w:szCs w:val="24"/>
        </w:rPr>
        <w:t>, 1995)</w:t>
      </w:r>
      <w:r w:rsidRPr="00725E72">
        <w:rPr>
          <w:rFonts w:cs="Arial"/>
          <w:sz w:val="24"/>
          <w:szCs w:val="24"/>
        </w:rPr>
        <w:t xml:space="preserve"> the common view of faster disability accrual in men. Clearly, the associations between sex and disability warrant further clarification in observational studies, with the perspective of elucidating the complex interactions between sex, relapses and disability.</w:t>
      </w:r>
    </w:p>
    <w:p w:rsidR="000450E2" w:rsidRPr="00725E72" w:rsidRDefault="000450E2" w:rsidP="002153AA">
      <w:pPr>
        <w:spacing w:after="120" w:line="480" w:lineRule="auto"/>
        <w:rPr>
          <w:rFonts w:cs="Arial"/>
          <w:sz w:val="24"/>
          <w:szCs w:val="24"/>
        </w:rPr>
      </w:pPr>
      <w:r w:rsidRPr="00725E72">
        <w:rPr>
          <w:rFonts w:cs="Arial"/>
          <w:sz w:val="24"/>
          <w:szCs w:val="24"/>
        </w:rPr>
        <w:t xml:space="preserve">MS duration and patient age are two largely collinear variables, whose effect on disease outcomes is difficult to differentiate. Whether the MS relapse activity is determined predominantly by the time from MS onset, or by patient age, is not known. While some works identified disease duration as an independent predictor of relapse incidence </w:t>
      </w:r>
      <w:r w:rsidRPr="00725E72">
        <w:rPr>
          <w:rFonts w:cs="Arial"/>
          <w:noProof/>
          <w:sz w:val="24"/>
          <w:szCs w:val="24"/>
        </w:rPr>
        <w:t>(Held</w:t>
      </w:r>
      <w:r w:rsidRPr="00725E72">
        <w:rPr>
          <w:rFonts w:cs="Arial"/>
          <w:i/>
          <w:noProof/>
          <w:sz w:val="24"/>
          <w:szCs w:val="24"/>
        </w:rPr>
        <w:t xml:space="preserve"> et al.</w:t>
      </w:r>
      <w:r w:rsidRPr="00725E72">
        <w:rPr>
          <w:rFonts w:cs="Arial"/>
          <w:noProof/>
          <w:sz w:val="24"/>
          <w:szCs w:val="24"/>
        </w:rPr>
        <w:t>, 2005)</w:t>
      </w:r>
      <w:r w:rsidRPr="00725E72">
        <w:rPr>
          <w:rFonts w:cs="Arial"/>
          <w:sz w:val="24"/>
          <w:szCs w:val="24"/>
        </w:rPr>
        <w:t xml:space="preserve">, others reported independent effect of age </w:t>
      </w:r>
      <w:r w:rsidRPr="00725E72">
        <w:rPr>
          <w:rFonts w:cs="Arial"/>
          <w:noProof/>
          <w:sz w:val="24"/>
          <w:szCs w:val="24"/>
        </w:rPr>
        <w:t>(Inusah</w:t>
      </w:r>
      <w:r w:rsidRPr="00725E72">
        <w:rPr>
          <w:rFonts w:cs="Arial"/>
          <w:i/>
          <w:noProof/>
          <w:sz w:val="24"/>
          <w:szCs w:val="24"/>
        </w:rPr>
        <w:t xml:space="preserve"> et al.</w:t>
      </w:r>
      <w:r w:rsidRPr="00725E72">
        <w:rPr>
          <w:rFonts w:cs="Arial"/>
          <w:noProof/>
          <w:sz w:val="24"/>
          <w:szCs w:val="24"/>
        </w:rPr>
        <w:t>, 2010)</w:t>
      </w:r>
      <w:r w:rsidRPr="00725E72">
        <w:rPr>
          <w:rFonts w:cs="Arial"/>
          <w:sz w:val="24"/>
          <w:szCs w:val="24"/>
        </w:rPr>
        <w:t xml:space="preserve">. </w:t>
      </w:r>
      <w:proofErr w:type="spellStart"/>
      <w:r w:rsidRPr="00725E72">
        <w:rPr>
          <w:rFonts w:cs="Arial"/>
          <w:sz w:val="24"/>
          <w:szCs w:val="24"/>
        </w:rPr>
        <w:t>Tremlett</w:t>
      </w:r>
      <w:proofErr w:type="spellEnd"/>
      <w:r w:rsidRPr="00725E72">
        <w:rPr>
          <w:rFonts w:cs="Arial"/>
          <w:sz w:val="24"/>
          <w:szCs w:val="24"/>
        </w:rPr>
        <w:t xml:space="preserve"> et al. described a faster decline in ARR with disease duration in patients with later MS onset. It is possible, that this interaction effect was in fact driven by the effect of age, but a direct statistical comparison between the effects of age and disease duration was not reported </w:t>
      </w:r>
      <w:r w:rsidRPr="00725E72">
        <w:rPr>
          <w:rFonts w:cs="Arial"/>
          <w:noProof/>
          <w:sz w:val="24"/>
          <w:szCs w:val="24"/>
        </w:rPr>
        <w:t>(Tremlett</w:t>
      </w:r>
      <w:r w:rsidRPr="00725E72">
        <w:rPr>
          <w:rFonts w:cs="Arial"/>
          <w:i/>
          <w:noProof/>
          <w:sz w:val="24"/>
          <w:szCs w:val="24"/>
        </w:rPr>
        <w:t xml:space="preserve"> et al.</w:t>
      </w:r>
      <w:r w:rsidRPr="00725E72">
        <w:rPr>
          <w:rFonts w:cs="Arial"/>
          <w:noProof/>
          <w:sz w:val="24"/>
          <w:szCs w:val="24"/>
        </w:rPr>
        <w:t>, 2008)</w:t>
      </w:r>
      <w:r w:rsidRPr="00725E72">
        <w:rPr>
          <w:rFonts w:cs="Arial"/>
          <w:sz w:val="24"/>
          <w:szCs w:val="24"/>
        </w:rPr>
        <w:t xml:space="preserve">. In our present study, we have directly compared these two collinear variables using a multivariate </w:t>
      </w:r>
      <w:proofErr w:type="spellStart"/>
      <w:r w:rsidRPr="00725E72">
        <w:rPr>
          <w:rFonts w:cs="Arial"/>
          <w:sz w:val="24"/>
          <w:szCs w:val="24"/>
        </w:rPr>
        <w:t>Tweedie</w:t>
      </w:r>
      <w:proofErr w:type="spellEnd"/>
      <w:r w:rsidRPr="00725E72">
        <w:rPr>
          <w:rFonts w:cs="Arial"/>
          <w:sz w:val="24"/>
          <w:szCs w:val="24"/>
        </w:rPr>
        <w:t xml:space="preserve"> model. Our analysis indicates a dominant role of chronological age (approximately 2% per year decrease in ARR) over that of disease duration (approximately 1% per year decrease in ARR). This observation is complementary to previous works, which demonstrated that age at onset of progressive phase is remarkably similar between patients with primary progressive vs. relapsing-remitting / secondary progressive disease course, suggesting that presence and duration of relapsing phase is, to a </w:t>
      </w:r>
      <w:r w:rsidRPr="00725E72">
        <w:rPr>
          <w:rFonts w:cs="Arial"/>
          <w:sz w:val="24"/>
          <w:szCs w:val="24"/>
        </w:rPr>
        <w:lastRenderedPageBreak/>
        <w:t xml:space="preserve">great extent, defined by patient age </w:t>
      </w:r>
      <w:r w:rsidRPr="00725E72">
        <w:rPr>
          <w:rFonts w:cs="Arial"/>
          <w:noProof/>
          <w:sz w:val="24"/>
          <w:szCs w:val="24"/>
        </w:rPr>
        <w:t>(Confavreux and V</w:t>
      </w:r>
      <w:bookmarkStart w:id="0" w:name="_GoBack"/>
      <w:bookmarkEnd w:id="0"/>
      <w:r w:rsidRPr="00725E72">
        <w:rPr>
          <w:rFonts w:cs="Arial"/>
          <w:noProof/>
          <w:sz w:val="24"/>
          <w:szCs w:val="24"/>
        </w:rPr>
        <w:t>ukusic, 2006b; Leray</w:t>
      </w:r>
      <w:r w:rsidRPr="00725E72">
        <w:rPr>
          <w:rFonts w:cs="Arial"/>
          <w:i/>
          <w:noProof/>
          <w:sz w:val="24"/>
          <w:szCs w:val="24"/>
        </w:rPr>
        <w:t xml:space="preserve"> et al.</w:t>
      </w:r>
      <w:r w:rsidRPr="00725E72">
        <w:rPr>
          <w:rFonts w:cs="Arial"/>
          <w:noProof/>
          <w:sz w:val="24"/>
          <w:szCs w:val="24"/>
        </w:rPr>
        <w:t>, 2010; Scalfari</w:t>
      </w:r>
      <w:r w:rsidRPr="00725E72">
        <w:rPr>
          <w:rFonts w:cs="Arial"/>
          <w:i/>
          <w:noProof/>
          <w:sz w:val="24"/>
          <w:szCs w:val="24"/>
        </w:rPr>
        <w:t xml:space="preserve"> et al.</w:t>
      </w:r>
      <w:r w:rsidRPr="00725E72">
        <w:rPr>
          <w:rFonts w:cs="Arial"/>
          <w:noProof/>
          <w:sz w:val="24"/>
          <w:szCs w:val="24"/>
        </w:rPr>
        <w:t>, 2011)</w:t>
      </w:r>
      <w:r w:rsidRPr="00725E72">
        <w:rPr>
          <w:rFonts w:cs="Arial"/>
          <w:sz w:val="24"/>
          <w:szCs w:val="24"/>
        </w:rPr>
        <w:t xml:space="preserve">. </w:t>
      </w:r>
    </w:p>
    <w:p w:rsidR="000450E2" w:rsidRPr="00725E72" w:rsidRDefault="000450E2" w:rsidP="002153AA">
      <w:pPr>
        <w:spacing w:after="120" w:line="480" w:lineRule="auto"/>
        <w:rPr>
          <w:rFonts w:cs="Arial"/>
          <w:sz w:val="24"/>
          <w:szCs w:val="24"/>
        </w:rPr>
      </w:pPr>
      <w:r w:rsidRPr="00725E72">
        <w:rPr>
          <w:rFonts w:cs="Arial"/>
          <w:sz w:val="24"/>
          <w:szCs w:val="24"/>
        </w:rPr>
        <w:t xml:space="preserve">Our analysis was carried out in a large international observational cohort - the </w:t>
      </w:r>
      <w:proofErr w:type="spellStart"/>
      <w:r w:rsidRPr="00725E72">
        <w:rPr>
          <w:rFonts w:cs="Arial"/>
          <w:sz w:val="24"/>
          <w:szCs w:val="24"/>
        </w:rPr>
        <w:t>MSBase</w:t>
      </w:r>
      <w:proofErr w:type="spellEnd"/>
      <w:r w:rsidRPr="00725E72">
        <w:rPr>
          <w:rFonts w:cs="Arial"/>
          <w:sz w:val="24"/>
          <w:szCs w:val="24"/>
        </w:rPr>
        <w:t xml:space="preserve"> registry. The studied population was representative of patient populations managed at large academic MS centres, which might limit generalisation of our observations to a prevalent population. Inclusion in the </w:t>
      </w:r>
      <w:proofErr w:type="spellStart"/>
      <w:r w:rsidRPr="00725E72">
        <w:rPr>
          <w:rFonts w:cs="Arial"/>
          <w:sz w:val="24"/>
          <w:szCs w:val="24"/>
        </w:rPr>
        <w:t>MSBase</w:t>
      </w:r>
      <w:proofErr w:type="spellEnd"/>
      <w:r w:rsidRPr="00725E72">
        <w:rPr>
          <w:rFonts w:cs="Arial"/>
          <w:sz w:val="24"/>
          <w:szCs w:val="24"/>
        </w:rPr>
        <w:t xml:space="preserve"> might have posed a risk of recruitment bias; this was subject to the criteria for patient inclusion at the participating centres. Also, preferential data entry of patients with relapse-onset disease course at the study sites could have resulted in a relative under-representation of patients with primary progressive disease (which in our study was approximately 7%). Selection bias was potentially introduced by the applied inclusion criteria. However, the fact that female-to-male ratios were comparable between the excluded and included populations rendered this situation unlikely. Survival bias could potentially have been introduced in case that the patients with more pronounced disability were more often lost to follow-up. This hypothetical situation might favour the sex with slower disability accrual. On the other hand, given the parallel patient disposition of both sexes with respect to disease duration and patient age, the survival bias was improbable (see Figures 2A and B). The information prior to year 2000 represented data transferred from other clinical databases, and constituted only a small proportion of the evaluated data. The ARR and subsequently the differences studied in our analysis could have been underestimated by the possible relapse under-reporting. </w:t>
      </w:r>
      <w:r w:rsidR="00615D73" w:rsidRPr="00725E72">
        <w:rPr>
          <w:rFonts w:cs="Arial"/>
          <w:sz w:val="24"/>
          <w:szCs w:val="24"/>
        </w:rPr>
        <w:t>The</w:t>
      </w:r>
      <w:r w:rsidR="00D46B75" w:rsidRPr="00725E72">
        <w:rPr>
          <w:rFonts w:cs="Arial"/>
          <w:sz w:val="24"/>
          <w:szCs w:val="24"/>
        </w:rPr>
        <w:t xml:space="preserve"> differences in </w:t>
      </w:r>
      <w:r w:rsidR="00CC0D70" w:rsidRPr="00725E72">
        <w:rPr>
          <w:rFonts w:cs="Arial"/>
          <w:sz w:val="24"/>
          <w:szCs w:val="24"/>
        </w:rPr>
        <w:t xml:space="preserve">relapse </w:t>
      </w:r>
      <w:r w:rsidR="00D46B75" w:rsidRPr="00725E72">
        <w:rPr>
          <w:rFonts w:cs="Arial"/>
          <w:sz w:val="24"/>
          <w:szCs w:val="24"/>
        </w:rPr>
        <w:t>reporting</w:t>
      </w:r>
      <w:r w:rsidR="00CC0D70" w:rsidRPr="00725E72">
        <w:rPr>
          <w:rFonts w:cs="Arial"/>
          <w:sz w:val="24"/>
          <w:szCs w:val="24"/>
        </w:rPr>
        <w:t xml:space="preserve"> at the participating centres</w:t>
      </w:r>
      <w:r w:rsidR="00D46B75" w:rsidRPr="00725E72">
        <w:rPr>
          <w:rFonts w:cs="Arial"/>
          <w:sz w:val="24"/>
          <w:szCs w:val="24"/>
        </w:rPr>
        <w:t xml:space="preserve">, as </w:t>
      </w:r>
      <w:r w:rsidR="00913113" w:rsidRPr="00725E72">
        <w:rPr>
          <w:rFonts w:cs="Arial"/>
          <w:sz w:val="24"/>
          <w:szCs w:val="24"/>
        </w:rPr>
        <w:t xml:space="preserve">implied </w:t>
      </w:r>
      <w:r w:rsidR="00D46B75" w:rsidRPr="00725E72">
        <w:rPr>
          <w:rFonts w:cs="Arial"/>
          <w:sz w:val="24"/>
          <w:szCs w:val="24"/>
        </w:rPr>
        <w:t xml:space="preserve">by the variability in </w:t>
      </w:r>
      <w:r w:rsidR="00490069" w:rsidRPr="00725E72">
        <w:rPr>
          <w:rFonts w:cs="Arial"/>
          <w:sz w:val="24"/>
          <w:szCs w:val="24"/>
        </w:rPr>
        <w:t xml:space="preserve">the </w:t>
      </w:r>
      <w:r w:rsidR="00D46B75" w:rsidRPr="00725E72">
        <w:rPr>
          <w:rFonts w:cs="Arial"/>
          <w:sz w:val="24"/>
          <w:szCs w:val="24"/>
        </w:rPr>
        <w:t xml:space="preserve">centre-specific ARRs, could have </w:t>
      </w:r>
      <w:r w:rsidR="00CC0D70" w:rsidRPr="00725E72">
        <w:rPr>
          <w:rFonts w:cs="Arial"/>
          <w:sz w:val="24"/>
          <w:szCs w:val="24"/>
        </w:rPr>
        <w:t>inflated</w:t>
      </w:r>
      <w:r w:rsidR="00D46B75" w:rsidRPr="00725E72">
        <w:rPr>
          <w:rFonts w:cs="Arial"/>
          <w:sz w:val="24"/>
          <w:szCs w:val="24"/>
        </w:rPr>
        <w:t xml:space="preserve"> the </w:t>
      </w:r>
      <w:r w:rsidR="00CC0D70" w:rsidRPr="00725E72">
        <w:rPr>
          <w:rFonts w:cs="Arial"/>
          <w:sz w:val="24"/>
          <w:szCs w:val="24"/>
        </w:rPr>
        <w:t>under-</w:t>
      </w:r>
      <w:r w:rsidR="00D46B75" w:rsidRPr="00725E72">
        <w:rPr>
          <w:rFonts w:cs="Arial"/>
          <w:sz w:val="24"/>
          <w:szCs w:val="24"/>
        </w:rPr>
        <w:t xml:space="preserve">reporting error. </w:t>
      </w:r>
      <w:r w:rsidR="00913113" w:rsidRPr="00725E72">
        <w:rPr>
          <w:rFonts w:cs="Arial"/>
          <w:sz w:val="24"/>
          <w:szCs w:val="24"/>
        </w:rPr>
        <w:t>On the other hand, the fact that only 42% of the recorded relapses were concurrent with a recorded clinical visit and that EDSS validation of relapse</w:t>
      </w:r>
      <w:r w:rsidR="00CC0D70" w:rsidRPr="00725E72">
        <w:rPr>
          <w:rFonts w:cs="Arial"/>
          <w:sz w:val="24"/>
          <w:szCs w:val="24"/>
        </w:rPr>
        <w:t>s</w:t>
      </w:r>
      <w:r w:rsidR="00913113" w:rsidRPr="00725E72">
        <w:rPr>
          <w:rFonts w:cs="Arial"/>
          <w:sz w:val="24"/>
          <w:szCs w:val="24"/>
        </w:rPr>
        <w:t xml:space="preserve"> was not </w:t>
      </w:r>
      <w:r w:rsidR="00615D73" w:rsidRPr="00725E72">
        <w:rPr>
          <w:rFonts w:cs="Arial"/>
          <w:sz w:val="24"/>
          <w:szCs w:val="24"/>
        </w:rPr>
        <w:t>required</w:t>
      </w:r>
      <w:r w:rsidR="00913113" w:rsidRPr="00725E72">
        <w:rPr>
          <w:rFonts w:cs="Arial"/>
          <w:sz w:val="24"/>
          <w:szCs w:val="24"/>
        </w:rPr>
        <w:t xml:space="preserve"> </w:t>
      </w:r>
      <w:r w:rsidR="00615D73" w:rsidRPr="00725E72">
        <w:rPr>
          <w:rFonts w:cs="Arial"/>
          <w:sz w:val="24"/>
          <w:szCs w:val="24"/>
        </w:rPr>
        <w:t>indicates</w:t>
      </w:r>
      <w:r w:rsidR="00CC0D70" w:rsidRPr="00725E72">
        <w:rPr>
          <w:rFonts w:cs="Arial"/>
          <w:sz w:val="24"/>
          <w:szCs w:val="24"/>
        </w:rPr>
        <w:t xml:space="preserve"> </w:t>
      </w:r>
      <w:r w:rsidR="00615D73" w:rsidRPr="00725E72">
        <w:rPr>
          <w:rFonts w:cs="Arial"/>
          <w:sz w:val="24"/>
          <w:szCs w:val="24"/>
        </w:rPr>
        <w:t>that</w:t>
      </w:r>
      <w:r w:rsidR="00913113" w:rsidRPr="00725E72">
        <w:rPr>
          <w:rFonts w:cs="Arial"/>
          <w:sz w:val="24"/>
          <w:szCs w:val="24"/>
        </w:rPr>
        <w:t xml:space="preserve"> relapse over-reporting</w:t>
      </w:r>
      <w:r w:rsidR="00615D73" w:rsidRPr="00725E72">
        <w:rPr>
          <w:rFonts w:cs="Arial"/>
          <w:sz w:val="24"/>
          <w:szCs w:val="24"/>
        </w:rPr>
        <w:t xml:space="preserve"> could have </w:t>
      </w:r>
      <w:r w:rsidR="00FF1EF2" w:rsidRPr="00725E72">
        <w:rPr>
          <w:rFonts w:cs="Arial"/>
          <w:sz w:val="24"/>
          <w:szCs w:val="24"/>
        </w:rPr>
        <w:lastRenderedPageBreak/>
        <w:t>occurred</w:t>
      </w:r>
      <w:r w:rsidR="00913113" w:rsidRPr="00725E72">
        <w:rPr>
          <w:rFonts w:cs="Arial"/>
          <w:sz w:val="24"/>
          <w:szCs w:val="24"/>
        </w:rPr>
        <w:t xml:space="preserve">.  </w:t>
      </w:r>
      <w:r w:rsidR="00CC0D70" w:rsidRPr="00725E72">
        <w:rPr>
          <w:rFonts w:cs="Arial"/>
          <w:sz w:val="24"/>
          <w:szCs w:val="24"/>
        </w:rPr>
        <w:t>For all of these potential confounders, w</w:t>
      </w:r>
      <w:r w:rsidRPr="00725E72">
        <w:rPr>
          <w:rFonts w:cs="Arial"/>
          <w:sz w:val="24"/>
          <w:szCs w:val="24"/>
        </w:rPr>
        <w:t>e presume that the</w:t>
      </w:r>
      <w:r w:rsidR="00CC0D70" w:rsidRPr="00725E72">
        <w:rPr>
          <w:rFonts w:cs="Arial"/>
          <w:sz w:val="24"/>
          <w:szCs w:val="24"/>
        </w:rPr>
        <w:t>ir</w:t>
      </w:r>
      <w:r w:rsidRPr="00725E72">
        <w:rPr>
          <w:rFonts w:cs="Arial"/>
          <w:sz w:val="24"/>
          <w:szCs w:val="24"/>
        </w:rPr>
        <w:t xml:space="preserve"> </w:t>
      </w:r>
      <w:r w:rsidR="00CC0D70" w:rsidRPr="00725E72">
        <w:rPr>
          <w:rFonts w:cs="Arial"/>
          <w:sz w:val="24"/>
          <w:szCs w:val="24"/>
        </w:rPr>
        <w:t>influence applied</w:t>
      </w:r>
      <w:r w:rsidR="00913113" w:rsidRPr="00725E72">
        <w:rPr>
          <w:rFonts w:cs="Arial"/>
          <w:sz w:val="24"/>
          <w:szCs w:val="24"/>
        </w:rPr>
        <w:t xml:space="preserve"> </w:t>
      </w:r>
      <w:r w:rsidRPr="00725E72">
        <w:rPr>
          <w:rFonts w:cs="Arial"/>
          <w:sz w:val="24"/>
          <w:szCs w:val="24"/>
        </w:rPr>
        <w:t>consistently across the studied population, regardless of patient sex, age or disease duration. It should be noted that our analysis contained remarkable statistical power provided by 82,552 patient-years from a longitudinal patient follow-up with the mean follow-up period being 6 years. Overall, we were able to analyse ARR over 40 years of disease duration and 70 years of age.</w:t>
      </w:r>
    </w:p>
    <w:p w:rsidR="000450E2" w:rsidRPr="00725E72" w:rsidRDefault="000450E2" w:rsidP="002153AA">
      <w:pPr>
        <w:spacing w:after="120" w:line="480" w:lineRule="auto"/>
        <w:rPr>
          <w:rFonts w:cs="Arial"/>
          <w:sz w:val="24"/>
          <w:szCs w:val="24"/>
        </w:rPr>
      </w:pPr>
      <w:r w:rsidRPr="00725E72">
        <w:rPr>
          <w:rFonts w:cs="Arial"/>
          <w:sz w:val="24"/>
          <w:szCs w:val="24"/>
        </w:rPr>
        <w:t>In this study we evaluated effect of sex on the incidence of MS relapses throughout the disease- and life span and in the relapse-onset versus primary progressive course in a longitudinally followed large patient population. Its outcomes help elucidate patterns of MS activity determined by sex and in the future might lead to our improved understanding of MS etiopathogenesis.</w:t>
      </w:r>
    </w:p>
    <w:p w:rsidR="000450E2" w:rsidRPr="00725E72" w:rsidRDefault="000450E2" w:rsidP="002153AA">
      <w:pPr>
        <w:spacing w:after="120" w:line="480" w:lineRule="auto"/>
        <w:rPr>
          <w:rFonts w:cs="Arial"/>
          <w:b/>
          <w:sz w:val="24"/>
          <w:szCs w:val="24"/>
        </w:rPr>
      </w:pPr>
    </w:p>
    <w:p w:rsidR="000450E2" w:rsidRPr="00725E72" w:rsidRDefault="000450E2" w:rsidP="002153AA">
      <w:pPr>
        <w:spacing w:after="120" w:line="480" w:lineRule="auto"/>
        <w:rPr>
          <w:rFonts w:cs="Arial"/>
          <w:b/>
          <w:sz w:val="24"/>
          <w:szCs w:val="24"/>
        </w:rPr>
      </w:pPr>
      <w:r w:rsidRPr="00725E72">
        <w:rPr>
          <w:rFonts w:cs="Arial"/>
          <w:b/>
          <w:sz w:val="24"/>
          <w:szCs w:val="24"/>
        </w:rPr>
        <w:t>FUNDING</w:t>
      </w:r>
    </w:p>
    <w:p w:rsidR="000450E2" w:rsidRPr="00725E72" w:rsidRDefault="000450E2" w:rsidP="002153AA">
      <w:pPr>
        <w:spacing w:after="120" w:line="480" w:lineRule="auto"/>
        <w:rPr>
          <w:rFonts w:cs="Arial"/>
          <w:sz w:val="24"/>
          <w:szCs w:val="24"/>
        </w:rPr>
      </w:pPr>
      <w:r w:rsidRPr="00725E72">
        <w:rPr>
          <w:rFonts w:cs="Arial"/>
          <w:sz w:val="24"/>
          <w:szCs w:val="24"/>
        </w:rPr>
        <w:t xml:space="preserve">The work was supported by the Multiple Sclerosis Research Australia Postdoctoral Fellowship to TK [11-054], NHMRC Career Development Award (Clinical) to HB [ID628856], NHMRC Project Grant [1032484], NHMRC Centre for Research Excellence [Grant ID 1001216] and the </w:t>
      </w:r>
      <w:proofErr w:type="spellStart"/>
      <w:r w:rsidRPr="00725E72">
        <w:rPr>
          <w:rFonts w:cs="Arial"/>
          <w:sz w:val="24"/>
          <w:szCs w:val="24"/>
        </w:rPr>
        <w:t>MSBase</w:t>
      </w:r>
      <w:proofErr w:type="spellEnd"/>
      <w:r w:rsidRPr="00725E72">
        <w:rPr>
          <w:rFonts w:cs="Arial"/>
          <w:sz w:val="24"/>
          <w:szCs w:val="24"/>
        </w:rPr>
        <w:t xml:space="preserve"> Foundation. The </w:t>
      </w:r>
      <w:proofErr w:type="spellStart"/>
      <w:r w:rsidRPr="00725E72">
        <w:rPr>
          <w:rFonts w:cs="Arial"/>
          <w:sz w:val="24"/>
          <w:szCs w:val="24"/>
        </w:rPr>
        <w:t>MSBase</w:t>
      </w:r>
      <w:proofErr w:type="spellEnd"/>
      <w:r w:rsidRPr="00725E72">
        <w:rPr>
          <w:rFonts w:cs="Arial"/>
          <w:sz w:val="24"/>
          <w:szCs w:val="24"/>
        </w:rPr>
        <w:t xml:space="preserve"> Foundation is a not-for-profit organization that receives support from Merck </w:t>
      </w:r>
      <w:proofErr w:type="spellStart"/>
      <w:r w:rsidRPr="00725E72">
        <w:rPr>
          <w:rFonts w:cs="Arial"/>
          <w:sz w:val="24"/>
          <w:szCs w:val="24"/>
        </w:rPr>
        <w:t>Serono</w:t>
      </w:r>
      <w:proofErr w:type="spellEnd"/>
      <w:r w:rsidRPr="00725E72">
        <w:rPr>
          <w:rFonts w:cs="Arial"/>
          <w:sz w:val="24"/>
          <w:szCs w:val="24"/>
        </w:rPr>
        <w:t xml:space="preserve">, </w:t>
      </w:r>
      <w:proofErr w:type="spellStart"/>
      <w:r w:rsidRPr="00725E72">
        <w:rPr>
          <w:rFonts w:cs="Arial"/>
          <w:sz w:val="24"/>
          <w:szCs w:val="24"/>
        </w:rPr>
        <w:t>Biogen</w:t>
      </w:r>
      <w:proofErr w:type="spellEnd"/>
      <w:r w:rsidRPr="00725E72">
        <w:rPr>
          <w:rFonts w:cs="Arial"/>
          <w:sz w:val="24"/>
          <w:szCs w:val="24"/>
        </w:rPr>
        <w:t xml:space="preserve"> Idec, Novartis Pharma, Bayer-Schering, Sanofi-Aventis and </w:t>
      </w:r>
      <w:proofErr w:type="spellStart"/>
      <w:r w:rsidRPr="00725E72">
        <w:rPr>
          <w:rFonts w:cs="Arial"/>
          <w:sz w:val="24"/>
          <w:szCs w:val="24"/>
        </w:rPr>
        <w:t>BioCSL</w:t>
      </w:r>
      <w:proofErr w:type="spellEnd"/>
      <w:r w:rsidRPr="00725E72">
        <w:rPr>
          <w:rFonts w:cs="Arial"/>
          <w:sz w:val="24"/>
          <w:szCs w:val="24"/>
        </w:rPr>
        <w:t>.</w:t>
      </w:r>
    </w:p>
    <w:p w:rsidR="000450E2" w:rsidRPr="00725E72" w:rsidRDefault="000450E2" w:rsidP="002153AA">
      <w:pPr>
        <w:spacing w:after="120" w:line="480" w:lineRule="auto"/>
        <w:rPr>
          <w:rFonts w:cs="Arial"/>
          <w:b/>
          <w:sz w:val="24"/>
          <w:szCs w:val="24"/>
        </w:rPr>
      </w:pPr>
    </w:p>
    <w:p w:rsidR="000450E2" w:rsidRPr="00725E72" w:rsidRDefault="000450E2" w:rsidP="002153AA">
      <w:pPr>
        <w:keepNext/>
        <w:spacing w:after="120" w:line="480" w:lineRule="auto"/>
        <w:rPr>
          <w:rFonts w:cs="Arial"/>
          <w:b/>
          <w:sz w:val="24"/>
          <w:szCs w:val="24"/>
        </w:rPr>
      </w:pPr>
      <w:r w:rsidRPr="00725E72">
        <w:rPr>
          <w:rFonts w:cs="Arial"/>
          <w:b/>
          <w:sz w:val="24"/>
          <w:szCs w:val="24"/>
        </w:rPr>
        <w:lastRenderedPageBreak/>
        <w:t>ACKNOWLEDGEMENTS</w:t>
      </w:r>
    </w:p>
    <w:p w:rsidR="000450E2" w:rsidRPr="00725E72" w:rsidRDefault="000450E2" w:rsidP="002153AA">
      <w:pPr>
        <w:spacing w:after="0" w:line="480" w:lineRule="auto"/>
        <w:rPr>
          <w:rFonts w:cs="Arial"/>
          <w:sz w:val="24"/>
          <w:szCs w:val="24"/>
        </w:rPr>
      </w:pPr>
      <w:proofErr w:type="spellStart"/>
      <w:r w:rsidRPr="00725E72">
        <w:rPr>
          <w:rFonts w:cs="Arial"/>
          <w:b/>
          <w:sz w:val="24"/>
          <w:szCs w:val="24"/>
        </w:rPr>
        <w:t>MSBase</w:t>
      </w:r>
      <w:proofErr w:type="spellEnd"/>
      <w:r w:rsidRPr="00725E72">
        <w:rPr>
          <w:rFonts w:cs="Arial"/>
          <w:b/>
          <w:sz w:val="24"/>
          <w:szCs w:val="24"/>
        </w:rPr>
        <w:t xml:space="preserve"> study group contributors:</w:t>
      </w:r>
      <w:r w:rsidRPr="00725E72">
        <w:rPr>
          <w:rFonts w:cs="Arial"/>
          <w:sz w:val="24"/>
          <w:szCs w:val="24"/>
        </w:rPr>
        <w:t xml:space="preserve"> From MS-Centrum Nijmegen, The Netherlands, Dr Cees </w:t>
      </w:r>
      <w:proofErr w:type="spellStart"/>
      <w:r w:rsidRPr="00725E72">
        <w:rPr>
          <w:rFonts w:cs="Arial"/>
          <w:sz w:val="24"/>
          <w:szCs w:val="24"/>
        </w:rPr>
        <w:t>Zwanikken</w:t>
      </w:r>
      <w:proofErr w:type="spellEnd"/>
      <w:r w:rsidRPr="00725E72">
        <w:rPr>
          <w:rFonts w:cs="Arial"/>
          <w:sz w:val="24"/>
          <w:szCs w:val="24"/>
        </w:rPr>
        <w:t xml:space="preserve">; from </w:t>
      </w:r>
      <w:proofErr w:type="spellStart"/>
      <w:r w:rsidRPr="00725E72">
        <w:rPr>
          <w:rFonts w:cs="Arial"/>
          <w:sz w:val="24"/>
          <w:szCs w:val="24"/>
        </w:rPr>
        <w:t>Francicus</w:t>
      </w:r>
      <w:proofErr w:type="spellEnd"/>
      <w:r w:rsidRPr="00725E72">
        <w:rPr>
          <w:rFonts w:cs="Arial"/>
          <w:sz w:val="24"/>
          <w:szCs w:val="24"/>
        </w:rPr>
        <w:t xml:space="preserve"> </w:t>
      </w:r>
      <w:proofErr w:type="spellStart"/>
      <w:r w:rsidRPr="00725E72">
        <w:rPr>
          <w:rFonts w:cs="Arial"/>
          <w:sz w:val="24"/>
          <w:szCs w:val="24"/>
        </w:rPr>
        <w:t>Ziekenhuis</w:t>
      </w:r>
      <w:proofErr w:type="spellEnd"/>
      <w:r w:rsidRPr="00725E72">
        <w:rPr>
          <w:rFonts w:cs="Arial"/>
          <w:sz w:val="24"/>
          <w:szCs w:val="24"/>
        </w:rPr>
        <w:t xml:space="preserve">, The Netherlands, Ms Leontien den </w:t>
      </w:r>
      <w:proofErr w:type="spellStart"/>
      <w:r w:rsidRPr="00725E72">
        <w:rPr>
          <w:rFonts w:cs="Arial"/>
          <w:sz w:val="24"/>
          <w:szCs w:val="24"/>
        </w:rPr>
        <w:t>Braber-Moerland</w:t>
      </w:r>
      <w:proofErr w:type="spellEnd"/>
      <w:r w:rsidRPr="00725E72">
        <w:rPr>
          <w:rFonts w:cs="Arial"/>
          <w:sz w:val="24"/>
          <w:szCs w:val="24"/>
        </w:rPr>
        <w:t xml:space="preserve">; from </w:t>
      </w:r>
      <w:proofErr w:type="spellStart"/>
      <w:r w:rsidRPr="00725E72">
        <w:rPr>
          <w:rFonts w:cs="Arial"/>
          <w:sz w:val="24"/>
          <w:szCs w:val="24"/>
        </w:rPr>
        <w:t>Jeroen</w:t>
      </w:r>
      <w:proofErr w:type="spellEnd"/>
      <w:r w:rsidRPr="00725E72">
        <w:rPr>
          <w:rFonts w:cs="Arial"/>
          <w:sz w:val="24"/>
          <w:szCs w:val="24"/>
        </w:rPr>
        <w:t xml:space="preserve"> Bosch </w:t>
      </w:r>
      <w:proofErr w:type="spellStart"/>
      <w:r w:rsidRPr="00725E72">
        <w:rPr>
          <w:rFonts w:cs="Arial"/>
          <w:sz w:val="24"/>
          <w:szCs w:val="24"/>
        </w:rPr>
        <w:t>Ziekenhuis</w:t>
      </w:r>
      <w:proofErr w:type="spellEnd"/>
      <w:r w:rsidRPr="00725E72">
        <w:rPr>
          <w:rFonts w:cs="Arial"/>
          <w:sz w:val="24"/>
          <w:szCs w:val="24"/>
        </w:rPr>
        <w:t xml:space="preserve">, The Netherlands, Dr Erik van Munster; from Centre </w:t>
      </w:r>
      <w:proofErr w:type="spellStart"/>
      <w:r w:rsidRPr="00725E72">
        <w:rPr>
          <w:rFonts w:cs="Arial"/>
          <w:sz w:val="24"/>
          <w:szCs w:val="24"/>
        </w:rPr>
        <w:t>hospitalier</w:t>
      </w:r>
      <w:proofErr w:type="spellEnd"/>
      <w:r w:rsidRPr="00725E72">
        <w:rPr>
          <w:rFonts w:cs="Arial"/>
          <w:sz w:val="24"/>
          <w:szCs w:val="24"/>
        </w:rPr>
        <w:t xml:space="preserve"> </w:t>
      </w:r>
      <w:proofErr w:type="spellStart"/>
      <w:r w:rsidRPr="00725E72">
        <w:rPr>
          <w:rFonts w:cs="Arial"/>
          <w:sz w:val="24"/>
          <w:szCs w:val="24"/>
        </w:rPr>
        <w:t>del’Universite</w:t>
      </w:r>
      <w:proofErr w:type="spellEnd"/>
      <w:r w:rsidRPr="00725E72">
        <w:rPr>
          <w:rFonts w:cs="Arial"/>
          <w:sz w:val="24"/>
          <w:szCs w:val="24"/>
        </w:rPr>
        <w:t xml:space="preserve"> de Montreal, </w:t>
      </w:r>
      <w:proofErr w:type="spellStart"/>
      <w:r w:rsidRPr="00725E72">
        <w:rPr>
          <w:rFonts w:cs="Arial"/>
          <w:sz w:val="24"/>
          <w:szCs w:val="24"/>
        </w:rPr>
        <w:t>Hopital</w:t>
      </w:r>
      <w:proofErr w:type="spellEnd"/>
      <w:r w:rsidRPr="00725E72">
        <w:rPr>
          <w:rFonts w:cs="Arial"/>
          <w:sz w:val="24"/>
          <w:szCs w:val="24"/>
        </w:rPr>
        <w:t xml:space="preserve"> Notre-Dame, Canada, Dr Elaine Roger and Dr Pierre </w:t>
      </w:r>
      <w:proofErr w:type="spellStart"/>
      <w:r w:rsidRPr="00725E72">
        <w:rPr>
          <w:rFonts w:cs="Arial"/>
          <w:sz w:val="24"/>
          <w:szCs w:val="24"/>
        </w:rPr>
        <w:t>Despault</w:t>
      </w:r>
      <w:proofErr w:type="spellEnd"/>
      <w:r w:rsidRPr="00725E72">
        <w:rPr>
          <w:rFonts w:cs="Arial"/>
          <w:sz w:val="24"/>
          <w:szCs w:val="24"/>
        </w:rPr>
        <w:t xml:space="preserve">; from the Royal Melbourne Hospital, Australia, Dr Mark Marriott, Dr </w:t>
      </w:r>
      <w:proofErr w:type="spellStart"/>
      <w:r w:rsidRPr="00725E72">
        <w:rPr>
          <w:rFonts w:cs="Arial"/>
          <w:sz w:val="24"/>
          <w:szCs w:val="24"/>
        </w:rPr>
        <w:t>Anneke</w:t>
      </w:r>
      <w:proofErr w:type="spellEnd"/>
      <w:r w:rsidRPr="00725E72">
        <w:rPr>
          <w:rFonts w:cs="Arial"/>
          <w:sz w:val="24"/>
          <w:szCs w:val="24"/>
        </w:rPr>
        <w:t xml:space="preserve"> Van der Walt, Dr John King , Dr Katherine Buzzard, Dr Jill Byron and Ms Lisa Morgan; from Box Hill Hospital, Monash University, Australia, Dr Olga </w:t>
      </w:r>
      <w:proofErr w:type="spellStart"/>
      <w:r w:rsidRPr="00725E72">
        <w:rPr>
          <w:rFonts w:cs="Arial"/>
          <w:sz w:val="24"/>
          <w:szCs w:val="24"/>
        </w:rPr>
        <w:t>Skibina</w:t>
      </w:r>
      <w:proofErr w:type="spellEnd"/>
      <w:r w:rsidRPr="00725E72">
        <w:rPr>
          <w:rFonts w:cs="Arial"/>
          <w:sz w:val="24"/>
          <w:szCs w:val="24"/>
        </w:rPr>
        <w:t xml:space="preserve"> and Ms Jodi </w:t>
      </w:r>
      <w:proofErr w:type="spellStart"/>
      <w:r w:rsidRPr="00725E72">
        <w:rPr>
          <w:rFonts w:cs="Arial"/>
          <w:sz w:val="24"/>
          <w:szCs w:val="24"/>
        </w:rPr>
        <w:t>Haartsen</w:t>
      </w:r>
      <w:proofErr w:type="spellEnd"/>
      <w:r w:rsidRPr="00725E72">
        <w:rPr>
          <w:rFonts w:cs="Arial"/>
          <w:sz w:val="24"/>
          <w:szCs w:val="24"/>
        </w:rPr>
        <w:t xml:space="preserve">; from St Vincent’s Hospital, Australia, Dr Mark Paine; from Department of Neuroscience and Imaging, University ‘G. </w:t>
      </w:r>
      <w:proofErr w:type="spellStart"/>
      <w:r w:rsidRPr="00725E72">
        <w:rPr>
          <w:rFonts w:cs="Arial"/>
          <w:sz w:val="24"/>
          <w:szCs w:val="24"/>
        </w:rPr>
        <w:t>d’Annunzio</w:t>
      </w:r>
      <w:proofErr w:type="spellEnd"/>
      <w:r w:rsidRPr="00725E72">
        <w:rPr>
          <w:rFonts w:cs="Arial"/>
          <w:sz w:val="24"/>
          <w:szCs w:val="24"/>
        </w:rPr>
        <w:t xml:space="preserve">’, Italy, Dr Giovanna De Luca, Dr Valeria Di </w:t>
      </w:r>
      <w:proofErr w:type="spellStart"/>
      <w:r w:rsidRPr="00725E72">
        <w:rPr>
          <w:rFonts w:cs="Arial"/>
          <w:sz w:val="24"/>
          <w:szCs w:val="24"/>
        </w:rPr>
        <w:t>Tommaso</w:t>
      </w:r>
      <w:proofErr w:type="spellEnd"/>
      <w:r w:rsidRPr="00725E72">
        <w:rPr>
          <w:rFonts w:cs="Arial"/>
          <w:sz w:val="24"/>
          <w:szCs w:val="24"/>
        </w:rPr>
        <w:t xml:space="preserve">, Dr Daniela </w:t>
      </w:r>
      <w:proofErr w:type="spellStart"/>
      <w:r w:rsidRPr="00725E72">
        <w:rPr>
          <w:rFonts w:cs="Arial"/>
          <w:sz w:val="24"/>
          <w:szCs w:val="24"/>
        </w:rPr>
        <w:t>Travaglini</w:t>
      </w:r>
      <w:proofErr w:type="spellEnd"/>
      <w:r w:rsidRPr="00725E72">
        <w:rPr>
          <w:rFonts w:cs="Arial"/>
          <w:sz w:val="24"/>
          <w:szCs w:val="24"/>
        </w:rPr>
        <w:t xml:space="preserve">, Dr Erika </w:t>
      </w:r>
      <w:proofErr w:type="spellStart"/>
      <w:r w:rsidRPr="00725E72">
        <w:rPr>
          <w:rFonts w:cs="Arial"/>
          <w:sz w:val="24"/>
          <w:szCs w:val="24"/>
        </w:rPr>
        <w:t>Pietrolongo</w:t>
      </w:r>
      <w:proofErr w:type="spellEnd"/>
      <w:r w:rsidRPr="00725E72">
        <w:rPr>
          <w:rFonts w:cs="Arial"/>
          <w:sz w:val="24"/>
          <w:szCs w:val="24"/>
        </w:rPr>
        <w:t xml:space="preserve">, Dr Maria di </w:t>
      </w:r>
      <w:proofErr w:type="spellStart"/>
      <w:r w:rsidRPr="00725E72">
        <w:rPr>
          <w:rFonts w:cs="Arial"/>
          <w:sz w:val="24"/>
          <w:szCs w:val="24"/>
        </w:rPr>
        <w:t>Ioia</w:t>
      </w:r>
      <w:proofErr w:type="spellEnd"/>
      <w:r w:rsidRPr="00725E72">
        <w:rPr>
          <w:rFonts w:cs="Arial"/>
          <w:sz w:val="24"/>
          <w:szCs w:val="24"/>
        </w:rPr>
        <w:t xml:space="preserve"> and Dr Deborah Farina; from Hospital </w:t>
      </w:r>
      <w:proofErr w:type="spellStart"/>
      <w:r w:rsidRPr="00725E72">
        <w:rPr>
          <w:rFonts w:cs="Arial"/>
          <w:sz w:val="24"/>
          <w:szCs w:val="24"/>
        </w:rPr>
        <w:t>Italiano</w:t>
      </w:r>
      <w:proofErr w:type="spellEnd"/>
      <w:r w:rsidRPr="00725E72">
        <w:rPr>
          <w:rFonts w:cs="Arial"/>
          <w:sz w:val="24"/>
          <w:szCs w:val="24"/>
        </w:rPr>
        <w:t xml:space="preserve">, Argentina, Dr Juan Ignacio Rojas and Dr Liliana </w:t>
      </w:r>
      <w:proofErr w:type="spellStart"/>
      <w:r w:rsidRPr="00725E72">
        <w:rPr>
          <w:rFonts w:cs="Arial"/>
          <w:sz w:val="24"/>
          <w:szCs w:val="24"/>
        </w:rPr>
        <w:t>Patrucco</w:t>
      </w:r>
      <w:proofErr w:type="spellEnd"/>
      <w:r w:rsidRPr="00725E72">
        <w:rPr>
          <w:rFonts w:cs="Arial"/>
          <w:sz w:val="24"/>
          <w:szCs w:val="24"/>
        </w:rPr>
        <w:t xml:space="preserve">; from </w:t>
      </w:r>
      <w:proofErr w:type="spellStart"/>
      <w:r w:rsidRPr="00725E72">
        <w:rPr>
          <w:rFonts w:cs="Arial"/>
          <w:sz w:val="24"/>
          <w:szCs w:val="24"/>
        </w:rPr>
        <w:t>Consultorio</w:t>
      </w:r>
      <w:proofErr w:type="spellEnd"/>
      <w:r w:rsidRPr="00725E72">
        <w:rPr>
          <w:rFonts w:cs="Arial"/>
          <w:sz w:val="24"/>
          <w:szCs w:val="24"/>
        </w:rPr>
        <w:t xml:space="preserve"> </w:t>
      </w:r>
      <w:proofErr w:type="spellStart"/>
      <w:r w:rsidRPr="00725E72">
        <w:rPr>
          <w:rFonts w:cs="Arial"/>
          <w:sz w:val="24"/>
          <w:szCs w:val="24"/>
        </w:rPr>
        <w:t>Privado</w:t>
      </w:r>
      <w:proofErr w:type="spellEnd"/>
      <w:r w:rsidRPr="00725E72">
        <w:rPr>
          <w:rFonts w:cs="Arial"/>
          <w:sz w:val="24"/>
          <w:szCs w:val="24"/>
        </w:rPr>
        <w:t xml:space="preserve">, Buenos Aires, Argentina, Dr Aldo </w:t>
      </w:r>
      <w:proofErr w:type="spellStart"/>
      <w:r w:rsidRPr="00725E72">
        <w:rPr>
          <w:rFonts w:cs="Arial"/>
          <w:sz w:val="24"/>
          <w:szCs w:val="24"/>
        </w:rPr>
        <w:t>Savino</w:t>
      </w:r>
      <w:proofErr w:type="spellEnd"/>
      <w:r w:rsidRPr="00725E72">
        <w:rPr>
          <w:rFonts w:cs="Arial"/>
          <w:sz w:val="24"/>
          <w:szCs w:val="24"/>
        </w:rPr>
        <w:t xml:space="preserve">; from </w:t>
      </w:r>
      <w:proofErr w:type="spellStart"/>
      <w:r w:rsidRPr="00725E72">
        <w:rPr>
          <w:rFonts w:cs="Arial"/>
          <w:sz w:val="24"/>
          <w:szCs w:val="24"/>
        </w:rPr>
        <w:t>Hopital</w:t>
      </w:r>
      <w:proofErr w:type="spellEnd"/>
      <w:r w:rsidRPr="00725E72">
        <w:rPr>
          <w:rFonts w:cs="Arial"/>
          <w:sz w:val="24"/>
          <w:szCs w:val="24"/>
        </w:rPr>
        <w:t xml:space="preserve"> Tenon, Paris, France, Dr Etienne </w:t>
      </w:r>
      <w:proofErr w:type="spellStart"/>
      <w:r w:rsidRPr="00725E72">
        <w:rPr>
          <w:rFonts w:cs="Arial"/>
          <w:sz w:val="24"/>
          <w:szCs w:val="24"/>
        </w:rPr>
        <w:t>Roullet</w:t>
      </w:r>
      <w:proofErr w:type="spellEnd"/>
      <w:r w:rsidRPr="00725E72">
        <w:rPr>
          <w:rFonts w:cs="Arial"/>
          <w:sz w:val="24"/>
          <w:szCs w:val="24"/>
        </w:rPr>
        <w:t xml:space="preserve">; from FLENI, Argentina, Dr Jorge </w:t>
      </w:r>
      <w:proofErr w:type="spellStart"/>
      <w:r w:rsidRPr="00725E72">
        <w:rPr>
          <w:rFonts w:cs="Arial"/>
          <w:sz w:val="24"/>
          <w:szCs w:val="24"/>
        </w:rPr>
        <w:t>Correale</w:t>
      </w:r>
      <w:proofErr w:type="spellEnd"/>
      <w:r w:rsidRPr="00725E72">
        <w:rPr>
          <w:rFonts w:cs="Arial"/>
          <w:sz w:val="24"/>
          <w:szCs w:val="24"/>
        </w:rPr>
        <w:t xml:space="preserve"> and Dr Celica </w:t>
      </w:r>
      <w:proofErr w:type="spellStart"/>
      <w:r w:rsidRPr="00725E72">
        <w:rPr>
          <w:rFonts w:cs="Arial"/>
          <w:sz w:val="24"/>
          <w:szCs w:val="24"/>
        </w:rPr>
        <w:t>Ysrraelit</w:t>
      </w:r>
      <w:proofErr w:type="spellEnd"/>
      <w:r w:rsidRPr="00725E72">
        <w:rPr>
          <w:rFonts w:cs="Arial"/>
          <w:sz w:val="24"/>
          <w:szCs w:val="24"/>
        </w:rPr>
        <w:t xml:space="preserve">; from </w:t>
      </w:r>
      <w:proofErr w:type="spellStart"/>
      <w:r w:rsidRPr="00725E72">
        <w:rPr>
          <w:rFonts w:cs="Arial"/>
          <w:sz w:val="24"/>
          <w:szCs w:val="24"/>
        </w:rPr>
        <w:t>Ospedale</w:t>
      </w:r>
      <w:proofErr w:type="spellEnd"/>
      <w:r w:rsidRPr="00725E72">
        <w:rPr>
          <w:rFonts w:cs="Arial"/>
          <w:sz w:val="24"/>
          <w:szCs w:val="24"/>
        </w:rPr>
        <w:t xml:space="preserve"> di Macerata, Italy, Dr </w:t>
      </w:r>
      <w:proofErr w:type="spellStart"/>
      <w:r w:rsidRPr="00725E72">
        <w:rPr>
          <w:rFonts w:cs="Arial"/>
          <w:sz w:val="24"/>
          <w:szCs w:val="24"/>
        </w:rPr>
        <w:t>Elisabetta</w:t>
      </w:r>
      <w:proofErr w:type="spellEnd"/>
      <w:r w:rsidRPr="00725E72">
        <w:rPr>
          <w:rFonts w:cs="Arial"/>
          <w:sz w:val="24"/>
          <w:szCs w:val="24"/>
        </w:rPr>
        <w:t xml:space="preserve"> </w:t>
      </w:r>
      <w:proofErr w:type="spellStart"/>
      <w:r w:rsidRPr="00725E72">
        <w:rPr>
          <w:rFonts w:cs="Arial"/>
          <w:sz w:val="24"/>
          <w:szCs w:val="24"/>
        </w:rPr>
        <w:t>Cartechini</w:t>
      </w:r>
      <w:proofErr w:type="spellEnd"/>
      <w:r w:rsidRPr="00725E72">
        <w:rPr>
          <w:rFonts w:cs="Arial"/>
          <w:sz w:val="24"/>
          <w:szCs w:val="24"/>
        </w:rPr>
        <w:t xml:space="preserve"> and Mr Eugenio </w:t>
      </w:r>
      <w:proofErr w:type="spellStart"/>
      <w:r w:rsidRPr="00725E72">
        <w:rPr>
          <w:rFonts w:cs="Arial"/>
          <w:sz w:val="24"/>
          <w:szCs w:val="24"/>
        </w:rPr>
        <w:t>Pucci</w:t>
      </w:r>
      <w:proofErr w:type="spellEnd"/>
      <w:r w:rsidRPr="00725E72">
        <w:rPr>
          <w:rFonts w:cs="Arial"/>
          <w:sz w:val="24"/>
          <w:szCs w:val="24"/>
        </w:rPr>
        <w:t xml:space="preserve">; from John Hunter Hospital, Australia, Dr David Williams and Dr Lisa Dark; from Sheba Medical </w:t>
      </w:r>
      <w:proofErr w:type="spellStart"/>
      <w:r w:rsidRPr="00725E72">
        <w:rPr>
          <w:rFonts w:cs="Arial"/>
          <w:sz w:val="24"/>
          <w:szCs w:val="24"/>
        </w:rPr>
        <w:t>Center</w:t>
      </w:r>
      <w:proofErr w:type="spellEnd"/>
      <w:r w:rsidRPr="00725E72">
        <w:rPr>
          <w:rFonts w:cs="Arial"/>
          <w:sz w:val="24"/>
          <w:szCs w:val="24"/>
        </w:rPr>
        <w:t xml:space="preserve">, Tel </w:t>
      </w:r>
      <w:proofErr w:type="spellStart"/>
      <w:r w:rsidRPr="00725E72">
        <w:rPr>
          <w:rFonts w:cs="Arial"/>
          <w:sz w:val="24"/>
          <w:szCs w:val="24"/>
        </w:rPr>
        <w:t>Hashomer</w:t>
      </w:r>
      <w:proofErr w:type="spellEnd"/>
      <w:r w:rsidRPr="00725E72">
        <w:rPr>
          <w:rFonts w:cs="Arial"/>
          <w:sz w:val="24"/>
          <w:szCs w:val="24"/>
        </w:rPr>
        <w:t xml:space="preserve">, Israel, Dr Joab Chapman; from Hospital Fernandez, Argentina, Dr Norma </w:t>
      </w:r>
      <w:proofErr w:type="spellStart"/>
      <w:r w:rsidRPr="00725E72">
        <w:rPr>
          <w:rFonts w:cs="Arial"/>
          <w:sz w:val="24"/>
          <w:szCs w:val="24"/>
        </w:rPr>
        <w:t>Deri</w:t>
      </w:r>
      <w:proofErr w:type="spellEnd"/>
      <w:r w:rsidRPr="00725E72">
        <w:rPr>
          <w:rFonts w:cs="Arial"/>
          <w:sz w:val="24"/>
          <w:szCs w:val="24"/>
        </w:rPr>
        <w:t xml:space="preserve">; from Hospital </w:t>
      </w:r>
      <w:proofErr w:type="spellStart"/>
      <w:r w:rsidRPr="00725E72">
        <w:rPr>
          <w:rFonts w:cs="Arial"/>
          <w:sz w:val="24"/>
          <w:szCs w:val="24"/>
        </w:rPr>
        <w:t>Ecoville</w:t>
      </w:r>
      <w:proofErr w:type="spellEnd"/>
      <w:r w:rsidRPr="00725E72">
        <w:rPr>
          <w:rFonts w:cs="Arial"/>
          <w:sz w:val="24"/>
          <w:szCs w:val="24"/>
        </w:rPr>
        <w:t xml:space="preserve">, Brazil, Dr Walter </w:t>
      </w:r>
      <w:proofErr w:type="spellStart"/>
      <w:r w:rsidRPr="00725E72">
        <w:rPr>
          <w:rFonts w:cs="Arial"/>
          <w:sz w:val="24"/>
          <w:szCs w:val="24"/>
        </w:rPr>
        <w:t>Oleschko</w:t>
      </w:r>
      <w:proofErr w:type="spellEnd"/>
      <w:r w:rsidRPr="00725E72">
        <w:rPr>
          <w:rFonts w:cs="Arial"/>
          <w:sz w:val="24"/>
          <w:szCs w:val="24"/>
        </w:rPr>
        <w:t xml:space="preserve"> </w:t>
      </w:r>
      <w:proofErr w:type="spellStart"/>
      <w:r w:rsidRPr="00725E72">
        <w:rPr>
          <w:rFonts w:cs="Arial"/>
          <w:sz w:val="24"/>
          <w:szCs w:val="24"/>
        </w:rPr>
        <w:t>Arruda</w:t>
      </w:r>
      <w:proofErr w:type="spellEnd"/>
      <w:r w:rsidRPr="00725E72">
        <w:rPr>
          <w:rFonts w:cs="Arial"/>
          <w:sz w:val="24"/>
          <w:szCs w:val="24"/>
        </w:rPr>
        <w:t xml:space="preserve">; from HIGA </w:t>
      </w:r>
      <w:proofErr w:type="spellStart"/>
      <w:r w:rsidRPr="00725E72">
        <w:rPr>
          <w:rFonts w:cs="Arial"/>
          <w:sz w:val="24"/>
          <w:szCs w:val="24"/>
        </w:rPr>
        <w:t>Gral</w:t>
      </w:r>
      <w:proofErr w:type="spellEnd"/>
      <w:r w:rsidRPr="00725E72">
        <w:rPr>
          <w:rFonts w:cs="Arial"/>
          <w:sz w:val="24"/>
          <w:szCs w:val="24"/>
        </w:rPr>
        <w:t xml:space="preserve">. San Martin La Plata, Argentina, Dr Santiago </w:t>
      </w:r>
      <w:proofErr w:type="spellStart"/>
      <w:r w:rsidRPr="00725E72">
        <w:rPr>
          <w:rFonts w:cs="Arial"/>
          <w:sz w:val="24"/>
          <w:szCs w:val="24"/>
        </w:rPr>
        <w:t>Vetere</w:t>
      </w:r>
      <w:proofErr w:type="spellEnd"/>
      <w:r w:rsidRPr="00725E72">
        <w:rPr>
          <w:rFonts w:cs="Arial"/>
          <w:sz w:val="24"/>
          <w:szCs w:val="24"/>
        </w:rPr>
        <w:t xml:space="preserve">; from </w:t>
      </w:r>
      <w:proofErr w:type="spellStart"/>
      <w:r w:rsidRPr="00725E72">
        <w:rPr>
          <w:rFonts w:cs="Arial"/>
          <w:sz w:val="24"/>
          <w:szCs w:val="24"/>
        </w:rPr>
        <w:t>Jahn</w:t>
      </w:r>
      <w:proofErr w:type="spellEnd"/>
      <w:r w:rsidRPr="00725E72">
        <w:rPr>
          <w:rFonts w:cs="Arial"/>
          <w:sz w:val="24"/>
          <w:szCs w:val="24"/>
        </w:rPr>
        <w:t xml:space="preserve"> </w:t>
      </w:r>
      <w:proofErr w:type="spellStart"/>
      <w:r w:rsidRPr="00725E72">
        <w:rPr>
          <w:rFonts w:cs="Arial"/>
          <w:sz w:val="24"/>
          <w:szCs w:val="24"/>
        </w:rPr>
        <w:t>Ferenc</w:t>
      </w:r>
      <w:proofErr w:type="spellEnd"/>
      <w:r w:rsidRPr="00725E72">
        <w:rPr>
          <w:rFonts w:cs="Arial"/>
          <w:sz w:val="24"/>
          <w:szCs w:val="24"/>
        </w:rPr>
        <w:t xml:space="preserve"> Teaching Hospital, Hungary, Dr </w:t>
      </w:r>
      <w:proofErr w:type="spellStart"/>
      <w:r w:rsidRPr="00725E72">
        <w:rPr>
          <w:rFonts w:cs="Arial"/>
          <w:sz w:val="24"/>
          <w:szCs w:val="24"/>
        </w:rPr>
        <w:t>Csilla</w:t>
      </w:r>
      <w:proofErr w:type="spellEnd"/>
      <w:r w:rsidRPr="00725E72">
        <w:rPr>
          <w:rFonts w:cs="Arial"/>
          <w:sz w:val="24"/>
          <w:szCs w:val="24"/>
        </w:rPr>
        <w:t xml:space="preserve"> </w:t>
      </w:r>
      <w:proofErr w:type="spellStart"/>
      <w:r w:rsidRPr="00725E72">
        <w:rPr>
          <w:rFonts w:cs="Arial"/>
          <w:sz w:val="24"/>
          <w:szCs w:val="24"/>
        </w:rPr>
        <w:t>Rozsa</w:t>
      </w:r>
      <w:proofErr w:type="spellEnd"/>
      <w:r w:rsidRPr="00725E72">
        <w:rPr>
          <w:rFonts w:cs="Arial"/>
          <w:sz w:val="24"/>
          <w:szCs w:val="24"/>
        </w:rPr>
        <w:t xml:space="preserve"> and Dr </w:t>
      </w:r>
      <w:proofErr w:type="spellStart"/>
      <w:r w:rsidRPr="00725E72">
        <w:rPr>
          <w:rFonts w:cs="Arial"/>
          <w:sz w:val="24"/>
          <w:szCs w:val="24"/>
        </w:rPr>
        <w:t>Krisztian</w:t>
      </w:r>
      <w:proofErr w:type="spellEnd"/>
      <w:r w:rsidRPr="00725E72">
        <w:rPr>
          <w:rFonts w:cs="Arial"/>
          <w:sz w:val="24"/>
          <w:szCs w:val="24"/>
        </w:rPr>
        <w:t xml:space="preserve"> </w:t>
      </w:r>
      <w:proofErr w:type="spellStart"/>
      <w:r w:rsidRPr="00725E72">
        <w:rPr>
          <w:rFonts w:cs="Arial"/>
          <w:sz w:val="24"/>
          <w:szCs w:val="24"/>
        </w:rPr>
        <w:t>Kasa</w:t>
      </w:r>
      <w:proofErr w:type="spellEnd"/>
      <w:r w:rsidRPr="00725E72">
        <w:rPr>
          <w:rFonts w:cs="Arial"/>
          <w:sz w:val="24"/>
          <w:szCs w:val="24"/>
        </w:rPr>
        <w:t xml:space="preserve">; and from Thomas Jefferson University, Philadelphia, USA, Dr Donald </w:t>
      </w:r>
      <w:proofErr w:type="spellStart"/>
      <w:r w:rsidRPr="00725E72">
        <w:rPr>
          <w:rFonts w:cs="Arial"/>
          <w:sz w:val="24"/>
          <w:szCs w:val="24"/>
        </w:rPr>
        <w:t>McCarren</w:t>
      </w:r>
      <w:proofErr w:type="spellEnd"/>
      <w:r w:rsidRPr="00725E72">
        <w:rPr>
          <w:rFonts w:cs="Arial"/>
          <w:sz w:val="24"/>
          <w:szCs w:val="24"/>
        </w:rPr>
        <w:t>.</w:t>
      </w:r>
    </w:p>
    <w:p w:rsidR="000450E2" w:rsidRPr="00725E72" w:rsidRDefault="000450E2" w:rsidP="002153AA">
      <w:pPr>
        <w:spacing w:after="0" w:line="480" w:lineRule="auto"/>
        <w:rPr>
          <w:rFonts w:cs="Arial"/>
          <w:sz w:val="24"/>
          <w:szCs w:val="24"/>
        </w:rPr>
      </w:pPr>
    </w:p>
    <w:p w:rsidR="000450E2" w:rsidRPr="00725E72" w:rsidRDefault="000450E2" w:rsidP="002153AA">
      <w:pPr>
        <w:spacing w:after="0" w:line="480" w:lineRule="auto"/>
        <w:rPr>
          <w:rFonts w:cs="Arial"/>
          <w:sz w:val="24"/>
          <w:szCs w:val="24"/>
        </w:rPr>
      </w:pPr>
    </w:p>
    <w:p w:rsidR="000450E2" w:rsidRPr="00725E72" w:rsidRDefault="000450E2" w:rsidP="00692334">
      <w:pPr>
        <w:keepNext/>
        <w:spacing w:after="0" w:line="480" w:lineRule="auto"/>
        <w:rPr>
          <w:rFonts w:cs="Arial"/>
          <w:b/>
          <w:sz w:val="24"/>
          <w:szCs w:val="24"/>
        </w:rPr>
      </w:pPr>
      <w:r w:rsidRPr="00725E72">
        <w:rPr>
          <w:rFonts w:cs="Arial"/>
          <w:b/>
          <w:sz w:val="24"/>
          <w:szCs w:val="24"/>
        </w:rPr>
        <w:lastRenderedPageBreak/>
        <w:t>NOTES</w:t>
      </w:r>
    </w:p>
    <w:p w:rsidR="000450E2" w:rsidRPr="00725E72" w:rsidRDefault="000450E2" w:rsidP="002153AA">
      <w:pPr>
        <w:spacing w:after="0" w:line="480" w:lineRule="auto"/>
        <w:rPr>
          <w:rFonts w:cs="Arial"/>
          <w:sz w:val="24"/>
          <w:szCs w:val="24"/>
        </w:rPr>
      </w:pPr>
      <w:r w:rsidRPr="00725E72">
        <w:rPr>
          <w:rFonts w:cs="Arial"/>
          <w:sz w:val="24"/>
          <w:szCs w:val="24"/>
        </w:rPr>
        <w:t>*Cumulative hazard function is interpreted as the most probable count of repeatable events that would be expected for each individual by defined time, if the exposure to the risk started at time 0.</w:t>
      </w:r>
    </w:p>
    <w:p w:rsidR="000450E2" w:rsidRPr="00725E72" w:rsidRDefault="000450E2" w:rsidP="002153AA">
      <w:pPr>
        <w:spacing w:after="0" w:line="480" w:lineRule="auto"/>
        <w:rPr>
          <w:rFonts w:cs="Arial"/>
          <w:sz w:val="24"/>
          <w:szCs w:val="24"/>
        </w:rPr>
      </w:pPr>
      <w:r w:rsidRPr="00725E72">
        <w:rPr>
          <w:rFonts w:cs="Arial"/>
          <w:sz w:val="24"/>
          <w:szCs w:val="24"/>
          <w:vertAlign w:val="superscript"/>
        </w:rPr>
        <w:t>†</w:t>
      </w:r>
      <w:r w:rsidRPr="00725E72">
        <w:rPr>
          <w:rFonts w:cs="Arial"/>
          <w:sz w:val="24"/>
          <w:szCs w:val="24"/>
        </w:rPr>
        <w:t>In these patients, the start of the 10-year follow-up period did not coincide with their disease onset. The diagnosis of relapsing-remitting MS was based on their relapse activity preceding the recorded follow-up.</w:t>
      </w:r>
    </w:p>
    <w:p w:rsidR="000450E2" w:rsidRPr="00725E72" w:rsidRDefault="000450E2" w:rsidP="002153AA">
      <w:pPr>
        <w:spacing w:after="120" w:line="480" w:lineRule="auto"/>
        <w:rPr>
          <w:rFonts w:cs="Arial"/>
          <w:b/>
          <w:sz w:val="24"/>
          <w:szCs w:val="24"/>
        </w:rPr>
      </w:pPr>
    </w:p>
    <w:p w:rsidR="000450E2" w:rsidRPr="00725E72" w:rsidRDefault="000450E2" w:rsidP="002153AA">
      <w:pPr>
        <w:keepNext/>
        <w:spacing w:after="120" w:line="480" w:lineRule="auto"/>
        <w:rPr>
          <w:rFonts w:cs="Arial"/>
          <w:sz w:val="24"/>
          <w:szCs w:val="24"/>
        </w:rPr>
      </w:pPr>
      <w:r w:rsidRPr="00725E72">
        <w:rPr>
          <w:rFonts w:cs="Arial"/>
          <w:b/>
          <w:sz w:val="24"/>
          <w:szCs w:val="24"/>
        </w:rPr>
        <w:t>REFERENCES</w:t>
      </w:r>
    </w:p>
    <w:p w:rsidR="000450E2" w:rsidRPr="00725E72" w:rsidRDefault="000450E2" w:rsidP="002153AA">
      <w:pPr>
        <w:spacing w:after="0" w:line="480" w:lineRule="auto"/>
        <w:ind w:left="720" w:hanging="720"/>
        <w:rPr>
          <w:rFonts w:ascii="Calibri" w:hAnsi="Calibri" w:cs="Arial"/>
          <w:noProof/>
          <w:sz w:val="24"/>
          <w:szCs w:val="24"/>
        </w:rPr>
      </w:pPr>
      <w:bookmarkStart w:id="1" w:name="_ENREF_1"/>
      <w:r w:rsidRPr="00725E72">
        <w:rPr>
          <w:rFonts w:ascii="Calibri" w:hAnsi="Calibri" w:cs="Arial"/>
          <w:noProof/>
          <w:sz w:val="24"/>
          <w:szCs w:val="24"/>
        </w:rPr>
        <w:t>Alonso A, Hernan MA. Temporal trends in the incidence of multiple sclerosis: a systematic review. Neurology 2008; 71(2): 129-35.</w:t>
      </w:r>
      <w:bookmarkEnd w:id="1"/>
    </w:p>
    <w:p w:rsidR="000450E2" w:rsidRPr="00725E72" w:rsidRDefault="000450E2" w:rsidP="002153AA">
      <w:pPr>
        <w:spacing w:after="0" w:line="480" w:lineRule="auto"/>
        <w:ind w:left="720" w:hanging="720"/>
        <w:rPr>
          <w:rFonts w:ascii="Calibri" w:hAnsi="Calibri" w:cs="Arial"/>
          <w:noProof/>
          <w:sz w:val="24"/>
          <w:szCs w:val="24"/>
        </w:rPr>
      </w:pPr>
      <w:bookmarkStart w:id="2" w:name="_ENREF_2"/>
      <w:r w:rsidRPr="00725E72">
        <w:rPr>
          <w:rFonts w:ascii="Calibri" w:hAnsi="Calibri" w:cs="Arial"/>
          <w:noProof/>
          <w:sz w:val="24"/>
          <w:szCs w:val="24"/>
        </w:rPr>
        <w:t>Amato MP, Ponziani G, Bartolozzi ML, Siracusa G. A prospective study on the natural history of multiple sclerosis: clues to the conduct and interpretation of clinical trials. J Neurol Sci 1999; 168(2): 96-106.</w:t>
      </w:r>
      <w:bookmarkEnd w:id="2"/>
    </w:p>
    <w:p w:rsidR="000450E2" w:rsidRPr="00725E72" w:rsidRDefault="000450E2" w:rsidP="002153AA">
      <w:pPr>
        <w:spacing w:after="0" w:line="480" w:lineRule="auto"/>
        <w:ind w:left="720" w:hanging="720"/>
        <w:rPr>
          <w:rFonts w:ascii="Calibri" w:hAnsi="Calibri" w:cs="Arial"/>
          <w:noProof/>
          <w:sz w:val="24"/>
          <w:szCs w:val="24"/>
        </w:rPr>
      </w:pPr>
      <w:bookmarkStart w:id="3" w:name="_ENREF_3"/>
      <w:r w:rsidRPr="00725E72">
        <w:rPr>
          <w:rFonts w:ascii="Calibri" w:hAnsi="Calibri" w:cs="Arial"/>
          <w:noProof/>
          <w:sz w:val="24"/>
          <w:szCs w:val="24"/>
        </w:rPr>
        <w:t>Butzkueven H, Chapman J, Cristiano E, Grand'Maison F, Hoffmann M, Izquierdo G, et al. MSBase: an international, online registry and platform for collaborative outcomes research in multiple sclerosis. Mult Scler 2006; 12(6): 769-74.</w:t>
      </w:r>
      <w:bookmarkEnd w:id="3"/>
    </w:p>
    <w:p w:rsidR="000450E2" w:rsidRPr="00725E72" w:rsidRDefault="000450E2" w:rsidP="002153AA">
      <w:pPr>
        <w:spacing w:after="0" w:line="480" w:lineRule="auto"/>
        <w:ind w:left="720" w:hanging="720"/>
        <w:rPr>
          <w:rFonts w:ascii="Calibri" w:hAnsi="Calibri" w:cs="Arial"/>
          <w:noProof/>
          <w:sz w:val="24"/>
          <w:szCs w:val="24"/>
        </w:rPr>
      </w:pPr>
      <w:bookmarkStart w:id="4" w:name="_ENREF_4"/>
      <w:r w:rsidRPr="00725E72">
        <w:rPr>
          <w:rFonts w:ascii="Calibri" w:hAnsi="Calibri" w:cs="Arial"/>
          <w:noProof/>
          <w:sz w:val="24"/>
          <w:szCs w:val="24"/>
        </w:rPr>
        <w:t>Confavreux C, Vukusic S. Age at disability milestones in multiple sclerosis. Brain 2006a; 129(Pt 3): 595-605.</w:t>
      </w:r>
      <w:bookmarkEnd w:id="4"/>
    </w:p>
    <w:p w:rsidR="000450E2" w:rsidRPr="00725E72" w:rsidRDefault="000450E2" w:rsidP="002153AA">
      <w:pPr>
        <w:spacing w:after="0" w:line="480" w:lineRule="auto"/>
        <w:ind w:left="720" w:hanging="720"/>
        <w:rPr>
          <w:rFonts w:ascii="Calibri" w:hAnsi="Calibri" w:cs="Arial"/>
          <w:noProof/>
          <w:sz w:val="24"/>
          <w:szCs w:val="24"/>
        </w:rPr>
      </w:pPr>
      <w:bookmarkStart w:id="5" w:name="_ENREF_5"/>
      <w:r w:rsidRPr="00725E72">
        <w:rPr>
          <w:rFonts w:ascii="Calibri" w:hAnsi="Calibri" w:cs="Arial"/>
          <w:noProof/>
          <w:sz w:val="24"/>
          <w:szCs w:val="24"/>
        </w:rPr>
        <w:t>Confavreux C, Vukusic S. Natural history of multiple sclerosis: a unifying concept. Brain 2006b; 129(Pt 3): 606-16.</w:t>
      </w:r>
      <w:bookmarkEnd w:id="5"/>
    </w:p>
    <w:p w:rsidR="000450E2" w:rsidRPr="00725E72" w:rsidRDefault="000450E2" w:rsidP="002153AA">
      <w:pPr>
        <w:spacing w:after="0" w:line="480" w:lineRule="auto"/>
        <w:ind w:left="720" w:hanging="720"/>
        <w:rPr>
          <w:rFonts w:ascii="Calibri" w:hAnsi="Calibri" w:cs="Arial"/>
          <w:noProof/>
          <w:sz w:val="24"/>
          <w:szCs w:val="24"/>
        </w:rPr>
      </w:pPr>
      <w:bookmarkStart w:id="6" w:name="_ENREF_6"/>
      <w:r w:rsidRPr="00725E72">
        <w:rPr>
          <w:rFonts w:ascii="Calibri" w:hAnsi="Calibri" w:cs="Arial"/>
          <w:noProof/>
          <w:sz w:val="24"/>
          <w:szCs w:val="24"/>
        </w:rPr>
        <w:t>Confavreux C, Vukusic S, Adeleine P. Early clinical predictors and progression of irreversible disability in multiple sclerosis: an amnesic process. Brain 2003; 126(Pt 4): 770-82.</w:t>
      </w:r>
      <w:bookmarkEnd w:id="6"/>
    </w:p>
    <w:p w:rsidR="000450E2" w:rsidRPr="00725E72" w:rsidRDefault="000450E2" w:rsidP="002153AA">
      <w:pPr>
        <w:spacing w:after="0" w:line="480" w:lineRule="auto"/>
        <w:ind w:left="720" w:hanging="720"/>
        <w:rPr>
          <w:rFonts w:ascii="Calibri" w:hAnsi="Calibri" w:cs="Arial"/>
          <w:noProof/>
          <w:sz w:val="24"/>
          <w:szCs w:val="24"/>
        </w:rPr>
      </w:pPr>
      <w:bookmarkStart w:id="7" w:name="_ENREF_7"/>
      <w:r w:rsidRPr="00725E72">
        <w:rPr>
          <w:rFonts w:ascii="Calibri" w:hAnsi="Calibri" w:cs="Arial"/>
          <w:noProof/>
          <w:sz w:val="24"/>
          <w:szCs w:val="24"/>
        </w:rPr>
        <w:lastRenderedPageBreak/>
        <w:t>Held U, Heigenhauser L, Shang C, Kappos L, Polman C. Predictors of relapse rate in MS clinical trials. Neurology 2005; 65(11): 1769-73.</w:t>
      </w:r>
      <w:bookmarkEnd w:id="7"/>
    </w:p>
    <w:p w:rsidR="000450E2" w:rsidRPr="00725E72" w:rsidRDefault="000450E2" w:rsidP="002153AA">
      <w:pPr>
        <w:spacing w:after="0" w:line="480" w:lineRule="auto"/>
        <w:ind w:left="720" w:hanging="720"/>
        <w:rPr>
          <w:rFonts w:ascii="Calibri" w:hAnsi="Calibri" w:cs="Arial"/>
          <w:noProof/>
          <w:sz w:val="24"/>
          <w:szCs w:val="24"/>
        </w:rPr>
      </w:pPr>
      <w:bookmarkStart w:id="8" w:name="_ENREF_8"/>
      <w:r w:rsidRPr="00725E72">
        <w:rPr>
          <w:rFonts w:ascii="Calibri" w:hAnsi="Calibri" w:cs="Arial"/>
          <w:noProof/>
          <w:sz w:val="24"/>
          <w:szCs w:val="24"/>
        </w:rPr>
        <w:t>Hirst C, Ingram G, Pearson O, Pickersgill T, Scolding N, Robertson N. Contribution of relapses to disability in multiple sclerosis. J Neurol 2008; 255(2): 280-7.</w:t>
      </w:r>
      <w:bookmarkEnd w:id="8"/>
    </w:p>
    <w:p w:rsidR="000450E2" w:rsidRPr="00725E72" w:rsidRDefault="000450E2" w:rsidP="002153AA">
      <w:pPr>
        <w:spacing w:after="0" w:line="480" w:lineRule="auto"/>
        <w:ind w:left="720" w:hanging="720"/>
        <w:rPr>
          <w:rFonts w:ascii="Calibri" w:hAnsi="Calibri" w:cs="Arial"/>
          <w:noProof/>
          <w:sz w:val="24"/>
          <w:szCs w:val="24"/>
        </w:rPr>
      </w:pPr>
      <w:bookmarkStart w:id="9" w:name="_ENREF_9"/>
      <w:r w:rsidRPr="00725E72">
        <w:rPr>
          <w:rFonts w:ascii="Calibri" w:hAnsi="Calibri" w:cs="Arial"/>
          <w:noProof/>
          <w:sz w:val="24"/>
          <w:szCs w:val="24"/>
        </w:rPr>
        <w:t>Hutchinson M. Relapses do not matter in relation to long-term disability: commentary. Mult Scler 2011; 17(12): 1417.</w:t>
      </w:r>
      <w:bookmarkEnd w:id="9"/>
    </w:p>
    <w:p w:rsidR="000450E2" w:rsidRPr="00725E72" w:rsidRDefault="000450E2" w:rsidP="002153AA">
      <w:pPr>
        <w:spacing w:after="0" w:line="480" w:lineRule="auto"/>
        <w:ind w:left="720" w:hanging="720"/>
        <w:rPr>
          <w:rFonts w:ascii="Calibri" w:hAnsi="Calibri" w:cs="Arial"/>
          <w:noProof/>
          <w:sz w:val="24"/>
          <w:szCs w:val="24"/>
          <w:lang w:val="sv-SE"/>
        </w:rPr>
      </w:pPr>
      <w:bookmarkStart w:id="10" w:name="_ENREF_10"/>
      <w:r w:rsidRPr="00725E72">
        <w:rPr>
          <w:rFonts w:ascii="Calibri" w:hAnsi="Calibri" w:cs="Arial"/>
          <w:noProof/>
          <w:sz w:val="24"/>
          <w:szCs w:val="24"/>
        </w:rPr>
        <w:t xml:space="preserve">Inusah S, Sormani MP, Cofield SS, Aban IB, Musani SK, Srinivasasainagendra V, et al. Assessing changes in relapse rates in multiple sclerosis. </w:t>
      </w:r>
      <w:r w:rsidRPr="00725E72">
        <w:rPr>
          <w:rFonts w:ascii="Calibri" w:hAnsi="Calibri" w:cs="Arial"/>
          <w:noProof/>
          <w:sz w:val="24"/>
          <w:szCs w:val="24"/>
          <w:lang w:val="sv-SE"/>
        </w:rPr>
        <w:t>Mult Scler 2010; 16(12): 1414-21.</w:t>
      </w:r>
      <w:bookmarkEnd w:id="10"/>
    </w:p>
    <w:p w:rsidR="000450E2" w:rsidRPr="00725E72" w:rsidRDefault="000450E2" w:rsidP="002153AA">
      <w:pPr>
        <w:spacing w:after="0" w:line="480" w:lineRule="auto"/>
        <w:ind w:left="720" w:hanging="720"/>
        <w:rPr>
          <w:rFonts w:ascii="Calibri" w:hAnsi="Calibri" w:cs="Arial"/>
          <w:noProof/>
          <w:sz w:val="24"/>
          <w:szCs w:val="24"/>
        </w:rPr>
      </w:pPr>
      <w:bookmarkStart w:id="11" w:name="_ENREF_11"/>
      <w:r w:rsidRPr="00725E72">
        <w:rPr>
          <w:rFonts w:ascii="Calibri" w:hAnsi="Calibri" w:cs="Arial"/>
          <w:noProof/>
          <w:sz w:val="24"/>
          <w:szCs w:val="24"/>
          <w:lang w:val="sv-SE"/>
        </w:rPr>
        <w:t xml:space="preserve">Kalincik T, Vaneckova M, Tyblova M, Krasensky J, Seidl Z, Havrdova E, et al. </w:t>
      </w:r>
      <w:r w:rsidRPr="00725E72">
        <w:rPr>
          <w:rFonts w:ascii="Calibri" w:hAnsi="Calibri" w:cs="Arial"/>
          <w:noProof/>
          <w:sz w:val="24"/>
          <w:szCs w:val="24"/>
        </w:rPr>
        <w:t>Volumetric MRI Markers and Predictors of Disease Activity in Early Multiple Sclerosis: A Longitudinal Cohort Study. PLoS One 2012; 7(11): e50101.</w:t>
      </w:r>
      <w:bookmarkEnd w:id="11"/>
    </w:p>
    <w:p w:rsidR="000450E2" w:rsidRPr="00725E72" w:rsidRDefault="000450E2" w:rsidP="002153AA">
      <w:pPr>
        <w:spacing w:after="0" w:line="480" w:lineRule="auto"/>
        <w:ind w:left="720" w:hanging="720"/>
        <w:rPr>
          <w:rFonts w:ascii="Calibri" w:hAnsi="Calibri" w:cs="Arial"/>
          <w:noProof/>
          <w:sz w:val="24"/>
          <w:szCs w:val="24"/>
        </w:rPr>
      </w:pPr>
      <w:bookmarkStart w:id="12" w:name="_ENREF_12"/>
      <w:r w:rsidRPr="00725E72">
        <w:rPr>
          <w:rFonts w:ascii="Calibri" w:hAnsi="Calibri" w:cs="Arial"/>
          <w:noProof/>
          <w:sz w:val="24"/>
          <w:szCs w:val="24"/>
        </w:rPr>
        <w:t>Kampman M, Aarseth J, Grytten N, Benjaminsen E, Celius E, Dahl O, et al. Sex ratio of multiple sclerosis in persons born from 1930 to 1979 and its relation to latitude in Norway. Journal of neurology 2013.</w:t>
      </w:r>
      <w:bookmarkEnd w:id="12"/>
    </w:p>
    <w:p w:rsidR="000450E2" w:rsidRPr="00725E72" w:rsidRDefault="000450E2" w:rsidP="002153AA">
      <w:pPr>
        <w:spacing w:after="0" w:line="480" w:lineRule="auto"/>
        <w:ind w:left="720" w:hanging="720"/>
        <w:rPr>
          <w:rFonts w:ascii="Calibri" w:hAnsi="Calibri" w:cs="Arial"/>
          <w:noProof/>
          <w:sz w:val="24"/>
          <w:szCs w:val="24"/>
        </w:rPr>
      </w:pPr>
      <w:bookmarkStart w:id="13" w:name="_ENREF_13"/>
      <w:r w:rsidRPr="00725E72">
        <w:rPr>
          <w:rFonts w:ascii="Calibri" w:hAnsi="Calibri" w:cs="Arial"/>
          <w:noProof/>
          <w:sz w:val="24"/>
          <w:szCs w:val="24"/>
        </w:rPr>
        <w:t>Koch-Henriksen N, Sorensen PS. The changing demographic pattern of multiple sclerosis epidemiology. Lancet Neurol 2010; 9(5): 520-32.</w:t>
      </w:r>
      <w:bookmarkEnd w:id="13"/>
    </w:p>
    <w:p w:rsidR="000450E2" w:rsidRPr="00725E72" w:rsidRDefault="000450E2" w:rsidP="002153AA">
      <w:pPr>
        <w:spacing w:after="0" w:line="480" w:lineRule="auto"/>
        <w:ind w:left="720" w:hanging="720"/>
        <w:rPr>
          <w:rFonts w:ascii="Calibri" w:hAnsi="Calibri" w:cs="Arial"/>
          <w:noProof/>
          <w:sz w:val="24"/>
          <w:szCs w:val="24"/>
        </w:rPr>
      </w:pPr>
      <w:bookmarkStart w:id="14" w:name="_ENREF_14"/>
      <w:r w:rsidRPr="00725E72">
        <w:rPr>
          <w:rFonts w:ascii="Calibri" w:hAnsi="Calibri" w:cs="Arial"/>
          <w:noProof/>
          <w:sz w:val="24"/>
          <w:szCs w:val="24"/>
        </w:rPr>
        <w:t>Leray E, Yaouanq J, Le Page E, Coustans M, Laplaud D, Oger J, et al. Evidence for a two-stage disability progression in multiple sclerosis. Brain 2010; 133(Pt 7): 1900-13.</w:t>
      </w:r>
      <w:bookmarkEnd w:id="14"/>
    </w:p>
    <w:p w:rsidR="000450E2" w:rsidRPr="00725E72" w:rsidRDefault="000450E2" w:rsidP="002153AA">
      <w:pPr>
        <w:spacing w:after="0" w:line="480" w:lineRule="auto"/>
        <w:ind w:left="720" w:hanging="720"/>
        <w:rPr>
          <w:rFonts w:ascii="Calibri" w:hAnsi="Calibri" w:cs="Arial"/>
          <w:noProof/>
          <w:sz w:val="24"/>
          <w:szCs w:val="24"/>
        </w:rPr>
      </w:pPr>
      <w:bookmarkStart w:id="15" w:name="_ENREF_15"/>
      <w:r w:rsidRPr="00725E72">
        <w:rPr>
          <w:rFonts w:ascii="Calibri" w:hAnsi="Calibri" w:cs="Arial"/>
          <w:noProof/>
          <w:sz w:val="24"/>
          <w:szCs w:val="24"/>
        </w:rPr>
        <w:t>Lublin FD, Baier M, Cutter G. Effect of relapses on development of residual deficit in multiple sclerosis. Neurology 2003; 61(11): 1528-32.</w:t>
      </w:r>
      <w:bookmarkEnd w:id="15"/>
    </w:p>
    <w:p w:rsidR="000450E2" w:rsidRPr="00725E72" w:rsidRDefault="000450E2" w:rsidP="002153AA">
      <w:pPr>
        <w:spacing w:after="0" w:line="480" w:lineRule="auto"/>
        <w:ind w:left="720" w:hanging="720"/>
        <w:rPr>
          <w:rFonts w:ascii="Calibri" w:hAnsi="Calibri" w:cs="Arial"/>
          <w:noProof/>
          <w:sz w:val="24"/>
          <w:szCs w:val="24"/>
        </w:rPr>
      </w:pPr>
      <w:bookmarkStart w:id="16" w:name="_ENREF_16"/>
      <w:r w:rsidRPr="00725E72">
        <w:rPr>
          <w:rFonts w:ascii="Calibri" w:hAnsi="Calibri" w:cs="Arial"/>
          <w:noProof/>
          <w:sz w:val="24"/>
          <w:szCs w:val="24"/>
        </w:rPr>
        <w:t>Mowry EM, Pesic M, Grimes B, Deen SR, Bacchetti P, Waubant E. Clinical predictors of early second event in patients with clinically isolated syndrome. J Neurol 2009; 256(7): 1061-6.</w:t>
      </w:r>
      <w:bookmarkEnd w:id="16"/>
    </w:p>
    <w:p w:rsidR="000450E2" w:rsidRPr="00725E72" w:rsidRDefault="000450E2" w:rsidP="002153AA">
      <w:pPr>
        <w:spacing w:after="0" w:line="480" w:lineRule="auto"/>
        <w:ind w:left="720" w:hanging="720"/>
        <w:rPr>
          <w:rFonts w:ascii="Calibri" w:hAnsi="Calibri" w:cs="Arial"/>
          <w:noProof/>
          <w:sz w:val="24"/>
          <w:szCs w:val="24"/>
        </w:rPr>
      </w:pPr>
      <w:bookmarkStart w:id="17" w:name="_ENREF_17"/>
      <w:r w:rsidRPr="00725E72">
        <w:rPr>
          <w:rFonts w:ascii="Calibri" w:hAnsi="Calibri" w:cs="Arial"/>
          <w:noProof/>
          <w:sz w:val="24"/>
          <w:szCs w:val="24"/>
        </w:rPr>
        <w:lastRenderedPageBreak/>
        <w:t>Polman CH, Reingold SC, Edan G, Filippi M, Hartung HP, Kappos L, et al. Diagnostic criteria for multiple sclerosis: 2005 revisions to the "McDonald Criteria". Ann Neurol 2005; 58(6): 840-6.</w:t>
      </w:r>
      <w:bookmarkEnd w:id="17"/>
    </w:p>
    <w:p w:rsidR="000450E2" w:rsidRPr="00725E72" w:rsidRDefault="000450E2" w:rsidP="002153AA">
      <w:pPr>
        <w:spacing w:after="0" w:line="480" w:lineRule="auto"/>
        <w:ind w:left="720" w:hanging="720"/>
        <w:rPr>
          <w:rFonts w:ascii="Calibri" w:hAnsi="Calibri" w:cs="Arial"/>
          <w:noProof/>
          <w:sz w:val="24"/>
          <w:szCs w:val="24"/>
        </w:rPr>
      </w:pPr>
      <w:bookmarkStart w:id="18" w:name="_ENREF_18"/>
      <w:r w:rsidRPr="00725E72">
        <w:rPr>
          <w:rFonts w:ascii="Calibri" w:hAnsi="Calibri" w:cs="Arial"/>
          <w:noProof/>
          <w:sz w:val="24"/>
          <w:szCs w:val="24"/>
        </w:rPr>
        <w:t>Runmarker B, Andersen O. Prognostic factors in a multiple sclerosis incidence cohort with twenty-five years of follow-up. Brain 1993; 116 ( Pt 1): 117-34.</w:t>
      </w:r>
      <w:bookmarkEnd w:id="18"/>
    </w:p>
    <w:p w:rsidR="000450E2" w:rsidRPr="00725E72" w:rsidRDefault="000450E2" w:rsidP="002153AA">
      <w:pPr>
        <w:spacing w:after="0" w:line="480" w:lineRule="auto"/>
        <w:ind w:left="720" w:hanging="720"/>
        <w:rPr>
          <w:rFonts w:ascii="Calibri" w:hAnsi="Calibri" w:cs="Arial"/>
          <w:noProof/>
          <w:sz w:val="24"/>
          <w:szCs w:val="24"/>
        </w:rPr>
      </w:pPr>
      <w:bookmarkStart w:id="19" w:name="_ENREF_19"/>
      <w:r w:rsidRPr="00725E72">
        <w:rPr>
          <w:rFonts w:ascii="Calibri" w:hAnsi="Calibri" w:cs="Arial"/>
          <w:noProof/>
          <w:sz w:val="24"/>
          <w:szCs w:val="24"/>
        </w:rPr>
        <w:t>Scalfari A, Neuhaus A, Daumer M, Ebers GC, Muraro PA. Age and disability accumulation in multiple sclerosis. Neurology 2011; 77(13): 1246-52.</w:t>
      </w:r>
      <w:bookmarkEnd w:id="19"/>
    </w:p>
    <w:p w:rsidR="000450E2" w:rsidRPr="00725E72" w:rsidRDefault="000450E2" w:rsidP="002153AA">
      <w:pPr>
        <w:spacing w:after="0" w:line="480" w:lineRule="auto"/>
        <w:ind w:left="720" w:hanging="720"/>
        <w:rPr>
          <w:rFonts w:ascii="Calibri" w:hAnsi="Calibri" w:cs="Arial"/>
          <w:noProof/>
          <w:sz w:val="24"/>
          <w:szCs w:val="24"/>
        </w:rPr>
      </w:pPr>
      <w:bookmarkStart w:id="20" w:name="_ENREF_20"/>
      <w:r w:rsidRPr="00725E72">
        <w:rPr>
          <w:rFonts w:ascii="Calibri" w:hAnsi="Calibri" w:cs="Arial"/>
          <w:noProof/>
          <w:sz w:val="24"/>
          <w:szCs w:val="24"/>
        </w:rPr>
        <w:t>Scalfari A, Neuhaus A, Degenhardt A, Rice GP, Muraro PA, Daumer M, et al. The natural history of multiple sclerosis: a geographically based study 10: relapses and long-term disability. Brain 2010; 133(Pt 7): 1914-29.</w:t>
      </w:r>
      <w:bookmarkEnd w:id="20"/>
    </w:p>
    <w:p w:rsidR="000450E2" w:rsidRPr="00725E72" w:rsidRDefault="000450E2" w:rsidP="002153AA">
      <w:pPr>
        <w:spacing w:after="0" w:line="480" w:lineRule="auto"/>
        <w:ind w:left="720" w:hanging="720"/>
        <w:rPr>
          <w:rFonts w:ascii="Calibri" w:hAnsi="Calibri" w:cs="Arial"/>
          <w:noProof/>
          <w:sz w:val="24"/>
          <w:szCs w:val="24"/>
          <w:lang w:val="sv-SE"/>
        </w:rPr>
      </w:pPr>
      <w:bookmarkStart w:id="21" w:name="_ENREF_21"/>
      <w:r w:rsidRPr="00725E72">
        <w:rPr>
          <w:rFonts w:ascii="Calibri" w:hAnsi="Calibri" w:cs="Arial"/>
          <w:noProof/>
          <w:sz w:val="24"/>
          <w:szCs w:val="24"/>
        </w:rPr>
        <w:t xml:space="preserve">Schumacher GA, Beebe G, Kibler RF, Kurland LT, Kurtzke JF, McDowell F, et al. Problems of Experimental Trials of Therapy in Multiple Sclerosis: Report by the Panel on the Evaluation of Experimental Trials of Therapy in Multiple Sclerosis. </w:t>
      </w:r>
      <w:r w:rsidRPr="00725E72">
        <w:rPr>
          <w:rFonts w:ascii="Calibri" w:hAnsi="Calibri" w:cs="Arial"/>
          <w:noProof/>
          <w:sz w:val="24"/>
          <w:szCs w:val="24"/>
          <w:lang w:val="sv-SE"/>
        </w:rPr>
        <w:t>Ann N Y Acad Sci 1965; 122: 552-68.</w:t>
      </w:r>
      <w:bookmarkEnd w:id="21"/>
    </w:p>
    <w:p w:rsidR="000450E2" w:rsidRPr="00725E72" w:rsidRDefault="000450E2" w:rsidP="002153AA">
      <w:pPr>
        <w:spacing w:after="0" w:line="480" w:lineRule="auto"/>
        <w:ind w:left="720" w:hanging="720"/>
        <w:rPr>
          <w:rFonts w:ascii="Calibri" w:hAnsi="Calibri" w:cs="Arial"/>
          <w:noProof/>
          <w:sz w:val="24"/>
          <w:szCs w:val="24"/>
        </w:rPr>
      </w:pPr>
      <w:bookmarkStart w:id="22" w:name="_ENREF_22"/>
      <w:r w:rsidRPr="00725E72">
        <w:rPr>
          <w:rFonts w:ascii="Calibri" w:hAnsi="Calibri" w:cs="Arial"/>
          <w:noProof/>
          <w:sz w:val="24"/>
          <w:szCs w:val="24"/>
          <w:lang w:val="sv-SE"/>
        </w:rPr>
        <w:t xml:space="preserve">Simone IL, Carrara D, Tortorella C, Liguori M, Lepore V, Pellegrini F, et al. </w:t>
      </w:r>
      <w:r w:rsidRPr="00725E72">
        <w:rPr>
          <w:rFonts w:ascii="Calibri" w:hAnsi="Calibri" w:cs="Arial"/>
          <w:noProof/>
          <w:sz w:val="24"/>
          <w:szCs w:val="24"/>
        </w:rPr>
        <w:t>Course and prognosis in early-onset MS: comparison with adult-onset forms. Neurology 2002; 59(12): 1922-8.</w:t>
      </w:r>
      <w:bookmarkEnd w:id="22"/>
    </w:p>
    <w:p w:rsidR="000450E2" w:rsidRPr="00725E72" w:rsidRDefault="000450E2" w:rsidP="002153AA">
      <w:pPr>
        <w:spacing w:after="0" w:line="480" w:lineRule="auto"/>
        <w:ind w:left="720" w:hanging="720"/>
        <w:rPr>
          <w:rFonts w:ascii="Calibri" w:hAnsi="Calibri" w:cs="Arial"/>
          <w:noProof/>
          <w:sz w:val="24"/>
          <w:szCs w:val="24"/>
        </w:rPr>
      </w:pPr>
      <w:bookmarkStart w:id="23" w:name="_ENREF_23"/>
      <w:r w:rsidRPr="00725E72">
        <w:rPr>
          <w:rFonts w:ascii="Calibri" w:hAnsi="Calibri" w:cs="Arial"/>
          <w:noProof/>
          <w:sz w:val="24"/>
          <w:szCs w:val="24"/>
        </w:rPr>
        <w:t>Tremlett H, Yousefi M, Devonshire V, Rieckmann P, Zhao Y. Impact of multiple sclerosis relapses on progression diminishes with time. Neurology 2009; 73(20): 1616-23.</w:t>
      </w:r>
      <w:bookmarkEnd w:id="23"/>
    </w:p>
    <w:p w:rsidR="000450E2" w:rsidRPr="00725E72" w:rsidRDefault="000450E2" w:rsidP="002153AA">
      <w:pPr>
        <w:spacing w:after="0" w:line="480" w:lineRule="auto"/>
        <w:ind w:left="720" w:hanging="720"/>
        <w:rPr>
          <w:rFonts w:ascii="Calibri" w:hAnsi="Calibri" w:cs="Arial"/>
          <w:noProof/>
          <w:sz w:val="24"/>
          <w:szCs w:val="24"/>
        </w:rPr>
      </w:pPr>
      <w:bookmarkStart w:id="24" w:name="_ENREF_24"/>
      <w:r w:rsidRPr="00725E72">
        <w:rPr>
          <w:rFonts w:ascii="Calibri" w:hAnsi="Calibri" w:cs="Arial"/>
          <w:noProof/>
          <w:sz w:val="24"/>
          <w:szCs w:val="24"/>
        </w:rPr>
        <w:t>Tremlett H, Zhao Y, Joseph J, Devonshire V. Relapses in multiple sclerosis are age- and time-dependent. J Neurol Neurosurg Psychiatry 2008; 79(12): 1368-74.</w:t>
      </w:r>
      <w:bookmarkEnd w:id="24"/>
    </w:p>
    <w:p w:rsidR="000450E2" w:rsidRPr="00725E72" w:rsidRDefault="000450E2" w:rsidP="002153AA">
      <w:pPr>
        <w:spacing w:after="0" w:line="480" w:lineRule="auto"/>
        <w:ind w:left="720" w:hanging="720"/>
        <w:rPr>
          <w:rFonts w:ascii="Calibri" w:hAnsi="Calibri" w:cs="Arial"/>
          <w:noProof/>
          <w:sz w:val="24"/>
          <w:szCs w:val="24"/>
        </w:rPr>
      </w:pPr>
      <w:bookmarkStart w:id="25" w:name="_ENREF_25"/>
      <w:r w:rsidRPr="00725E72">
        <w:rPr>
          <w:rFonts w:ascii="Calibri" w:hAnsi="Calibri" w:cs="Arial"/>
          <w:noProof/>
          <w:sz w:val="24"/>
          <w:szCs w:val="24"/>
        </w:rPr>
        <w:t>Trojano M, Avolio C, Manzari C, Calo A, De Robertis F, Serio G, et al. Multivariate analysis of predictive factors of multiple sclerosis course with a validated method to assess clinical events. J Neurol Neurosurg Psychiatry 1995; 58(3): 300-6.</w:t>
      </w:r>
      <w:bookmarkEnd w:id="25"/>
    </w:p>
    <w:p w:rsidR="000450E2" w:rsidRPr="00725E72" w:rsidRDefault="000450E2" w:rsidP="002153AA">
      <w:pPr>
        <w:spacing w:line="480" w:lineRule="auto"/>
        <w:ind w:left="720" w:hanging="720"/>
        <w:rPr>
          <w:rFonts w:ascii="Calibri" w:hAnsi="Calibri" w:cs="Arial"/>
          <w:noProof/>
          <w:sz w:val="24"/>
          <w:szCs w:val="24"/>
        </w:rPr>
      </w:pPr>
      <w:bookmarkStart w:id="26" w:name="_ENREF_26"/>
      <w:r w:rsidRPr="00725E72">
        <w:rPr>
          <w:rFonts w:ascii="Calibri" w:hAnsi="Calibri" w:cs="Arial"/>
          <w:noProof/>
          <w:sz w:val="24"/>
          <w:szCs w:val="24"/>
        </w:rPr>
        <w:lastRenderedPageBreak/>
        <w:t>West T, Wyatt M, High A, Bostrom A, Waubant E. Are initial demyelinating event recovery and time to second event under differential control? Neurology 2006; 67(5): 809-13.</w:t>
      </w:r>
      <w:bookmarkEnd w:id="26"/>
    </w:p>
    <w:p w:rsidR="000450E2" w:rsidRPr="00725E72" w:rsidRDefault="000450E2" w:rsidP="001163AB">
      <w:pPr>
        <w:spacing w:line="240" w:lineRule="auto"/>
        <w:rPr>
          <w:rFonts w:ascii="Calibri" w:hAnsi="Calibri" w:cs="Arial"/>
          <w:noProof/>
          <w:szCs w:val="24"/>
        </w:rPr>
      </w:pPr>
    </w:p>
    <w:p w:rsidR="000450E2" w:rsidRPr="00725E72" w:rsidRDefault="000450E2" w:rsidP="00C3180A">
      <w:pPr>
        <w:spacing w:after="120"/>
        <w:rPr>
          <w:rFonts w:cs="Arial"/>
          <w:b/>
          <w:sz w:val="24"/>
          <w:szCs w:val="24"/>
        </w:rPr>
      </w:pPr>
    </w:p>
    <w:p w:rsidR="000450E2" w:rsidRPr="00725E72" w:rsidRDefault="000450E2">
      <w:pPr>
        <w:rPr>
          <w:rFonts w:cs="Arial"/>
          <w:b/>
          <w:sz w:val="24"/>
          <w:szCs w:val="24"/>
        </w:rPr>
      </w:pPr>
      <w:r w:rsidRPr="00725E72">
        <w:rPr>
          <w:rFonts w:cs="Arial"/>
          <w:b/>
          <w:sz w:val="24"/>
          <w:szCs w:val="24"/>
        </w:rPr>
        <w:br w:type="page"/>
      </w:r>
    </w:p>
    <w:p w:rsidR="000450E2" w:rsidRPr="00725E72" w:rsidRDefault="000450E2" w:rsidP="000E4AB0">
      <w:pPr>
        <w:spacing w:after="120" w:line="480" w:lineRule="auto"/>
        <w:rPr>
          <w:rFonts w:cs="Arial"/>
          <w:b/>
          <w:sz w:val="24"/>
          <w:szCs w:val="24"/>
        </w:rPr>
      </w:pPr>
      <w:r w:rsidRPr="00725E72">
        <w:rPr>
          <w:rFonts w:cs="Arial"/>
          <w:b/>
          <w:sz w:val="24"/>
          <w:szCs w:val="24"/>
        </w:rPr>
        <w:lastRenderedPageBreak/>
        <w:t>TABLES</w:t>
      </w:r>
    </w:p>
    <w:p w:rsidR="000450E2" w:rsidRPr="00725E72" w:rsidRDefault="000450E2" w:rsidP="000E4AB0">
      <w:pPr>
        <w:spacing w:after="120" w:line="480" w:lineRule="auto"/>
        <w:rPr>
          <w:rFonts w:cs="Arial"/>
          <w:b/>
          <w:sz w:val="24"/>
          <w:szCs w:val="24"/>
        </w:rPr>
      </w:pPr>
      <w:r w:rsidRPr="00725E72">
        <w:rPr>
          <w:rFonts w:cs="Arial"/>
          <w:b/>
          <w:sz w:val="24"/>
          <w:szCs w:val="24"/>
        </w:rPr>
        <w:t xml:space="preserve">Table 1 </w:t>
      </w:r>
    </w:p>
    <w:p w:rsidR="000450E2" w:rsidRPr="00725E72" w:rsidRDefault="000450E2" w:rsidP="000E4AB0">
      <w:pPr>
        <w:spacing w:after="120" w:line="480" w:lineRule="auto"/>
        <w:rPr>
          <w:rFonts w:cs="Arial"/>
          <w:b/>
          <w:sz w:val="24"/>
          <w:szCs w:val="24"/>
        </w:rPr>
      </w:pPr>
      <w:r w:rsidRPr="00725E72">
        <w:rPr>
          <w:rFonts w:cs="Arial"/>
          <w:b/>
          <w:sz w:val="24"/>
          <w:szCs w:val="24"/>
        </w:rPr>
        <w:t>Characteristics of the studied population with relapsing MS course</w:t>
      </w:r>
    </w:p>
    <w:p w:rsidR="000450E2" w:rsidRPr="00725E72" w:rsidRDefault="000450E2" w:rsidP="000E4AB0">
      <w:pPr>
        <w:tabs>
          <w:tab w:val="left" w:pos="3828"/>
          <w:tab w:val="left" w:pos="5670"/>
          <w:tab w:val="left" w:pos="7088"/>
        </w:tabs>
        <w:spacing w:after="120" w:line="480" w:lineRule="auto"/>
        <w:rPr>
          <w:rFonts w:cs="Arial"/>
          <w:b/>
          <w:sz w:val="24"/>
          <w:szCs w:val="24"/>
        </w:rPr>
      </w:pPr>
      <w:r w:rsidRPr="00725E72">
        <w:rPr>
          <w:rFonts w:cs="Arial"/>
          <w:sz w:val="24"/>
          <w:szCs w:val="24"/>
        </w:rPr>
        <w:tab/>
      </w:r>
      <w:proofErr w:type="gramStart"/>
      <w:r w:rsidRPr="00725E72">
        <w:rPr>
          <w:rFonts w:cs="Arial"/>
          <w:b/>
          <w:sz w:val="24"/>
          <w:szCs w:val="24"/>
        </w:rPr>
        <w:t>females</w:t>
      </w:r>
      <w:proofErr w:type="gramEnd"/>
      <w:r w:rsidRPr="00725E72">
        <w:rPr>
          <w:rFonts w:cs="Arial"/>
          <w:b/>
          <w:sz w:val="24"/>
          <w:szCs w:val="24"/>
        </w:rPr>
        <w:tab/>
        <w:t>males</w:t>
      </w:r>
      <w:r w:rsidRPr="00725E72">
        <w:rPr>
          <w:rFonts w:cs="Arial"/>
          <w:b/>
          <w:sz w:val="24"/>
          <w:szCs w:val="24"/>
        </w:rPr>
        <w:tab/>
        <w:t>Cohen’s d</w:t>
      </w:r>
    </w:p>
    <w:p w:rsidR="000450E2" w:rsidRPr="00725E72" w:rsidRDefault="000450E2" w:rsidP="000E4AB0">
      <w:pPr>
        <w:tabs>
          <w:tab w:val="left" w:pos="3828"/>
          <w:tab w:val="left" w:pos="5670"/>
          <w:tab w:val="left" w:pos="7655"/>
        </w:tabs>
        <w:spacing w:after="120" w:line="480" w:lineRule="auto"/>
      </w:pPr>
      <w:proofErr w:type="gramStart"/>
      <w:r w:rsidRPr="00725E72">
        <w:t>patients</w:t>
      </w:r>
      <w:proofErr w:type="gramEnd"/>
      <w:r w:rsidRPr="00725E72">
        <w:t>, number</w:t>
      </w:r>
      <w:r w:rsidRPr="00725E72">
        <w:tab/>
        <w:t>8295</w:t>
      </w:r>
      <w:r w:rsidRPr="00725E72">
        <w:tab/>
        <w:t>3275</w:t>
      </w:r>
    </w:p>
    <w:p w:rsidR="000450E2" w:rsidRPr="00725E72" w:rsidRDefault="000450E2" w:rsidP="000E4AB0">
      <w:pPr>
        <w:tabs>
          <w:tab w:val="left" w:pos="426"/>
          <w:tab w:val="left" w:pos="3828"/>
          <w:tab w:val="left" w:pos="5670"/>
          <w:tab w:val="left" w:pos="7655"/>
        </w:tabs>
        <w:spacing w:after="120" w:line="480" w:lineRule="auto"/>
      </w:pPr>
      <w:proofErr w:type="gramStart"/>
      <w:r w:rsidRPr="00725E72">
        <w:t>age</w:t>
      </w:r>
      <w:proofErr w:type="gramEnd"/>
    </w:p>
    <w:p w:rsidR="000450E2" w:rsidRPr="00725E72" w:rsidRDefault="000450E2" w:rsidP="000E4AB0">
      <w:pPr>
        <w:tabs>
          <w:tab w:val="left" w:pos="567"/>
          <w:tab w:val="left" w:pos="3828"/>
          <w:tab w:val="left" w:pos="5670"/>
          <w:tab w:val="left" w:pos="7655"/>
        </w:tabs>
        <w:spacing w:after="120" w:line="480" w:lineRule="auto"/>
      </w:pPr>
      <w:r w:rsidRPr="00725E72">
        <w:tab/>
        <w:t xml:space="preserve">- </w:t>
      </w:r>
      <w:proofErr w:type="gramStart"/>
      <w:r w:rsidRPr="00725E72">
        <w:t>at</w:t>
      </w:r>
      <w:proofErr w:type="gramEnd"/>
      <w:r w:rsidRPr="00725E72">
        <w:t xml:space="preserve"> inclusion, years</w:t>
      </w:r>
      <w:r w:rsidRPr="00725E72">
        <w:tab/>
        <w:t>37.0 ± 11.2</w:t>
      </w:r>
      <w:r w:rsidRPr="00725E72">
        <w:tab/>
        <w:t>37.2 ± 11.2</w:t>
      </w:r>
      <w:r w:rsidRPr="00725E72">
        <w:tab/>
        <w:t>0.02</w:t>
      </w:r>
    </w:p>
    <w:p w:rsidR="000450E2" w:rsidRPr="00725E72" w:rsidRDefault="000450E2" w:rsidP="000E4AB0">
      <w:pPr>
        <w:tabs>
          <w:tab w:val="left" w:pos="567"/>
          <w:tab w:val="left" w:pos="3828"/>
          <w:tab w:val="left" w:pos="5670"/>
          <w:tab w:val="left" w:pos="7655"/>
        </w:tabs>
        <w:spacing w:after="120" w:line="480" w:lineRule="auto"/>
      </w:pPr>
      <w:r w:rsidRPr="00725E72">
        <w:tab/>
        <w:t xml:space="preserve">- </w:t>
      </w:r>
      <w:proofErr w:type="gramStart"/>
      <w:r w:rsidRPr="00725E72">
        <w:t>at</w:t>
      </w:r>
      <w:proofErr w:type="gramEnd"/>
      <w:r w:rsidRPr="00725E72">
        <w:t xml:space="preserve"> censoring, years</w:t>
      </w:r>
      <w:r w:rsidRPr="00725E72">
        <w:tab/>
        <w:t>44.1 ± 11.7</w:t>
      </w:r>
      <w:r w:rsidRPr="00725E72">
        <w:tab/>
        <w:t>44.4 ± 11.5</w:t>
      </w:r>
      <w:r w:rsidRPr="00725E72">
        <w:tab/>
        <w:t>0.02</w:t>
      </w:r>
    </w:p>
    <w:p w:rsidR="000450E2" w:rsidRPr="00725E72" w:rsidRDefault="000450E2" w:rsidP="000E4AB0">
      <w:pPr>
        <w:tabs>
          <w:tab w:val="left" w:pos="426"/>
          <w:tab w:val="left" w:pos="3828"/>
          <w:tab w:val="left" w:pos="5670"/>
          <w:tab w:val="left" w:pos="7655"/>
        </w:tabs>
        <w:spacing w:after="120" w:line="480" w:lineRule="auto"/>
      </w:pPr>
      <w:proofErr w:type="gramStart"/>
      <w:r w:rsidRPr="00725E72">
        <w:t>ethnicity</w:t>
      </w:r>
      <w:proofErr w:type="gramEnd"/>
    </w:p>
    <w:p w:rsidR="000450E2" w:rsidRPr="00725E72" w:rsidRDefault="000450E2" w:rsidP="000E4AB0">
      <w:pPr>
        <w:tabs>
          <w:tab w:val="left" w:pos="993"/>
          <w:tab w:val="left" w:pos="3828"/>
          <w:tab w:val="left" w:pos="5670"/>
          <w:tab w:val="left" w:pos="7655"/>
        </w:tabs>
        <w:spacing w:after="120" w:line="480" w:lineRule="auto"/>
      </w:pPr>
      <w:r w:rsidRPr="00725E72">
        <w:tab/>
        <w:t>Caucasian, number (%)</w:t>
      </w:r>
      <w:r w:rsidRPr="00725E72">
        <w:tab/>
        <w:t>5102 (62%)</w:t>
      </w:r>
      <w:r w:rsidRPr="00725E72">
        <w:tab/>
        <w:t>1992 (61%)</w:t>
      </w:r>
    </w:p>
    <w:p w:rsidR="000450E2" w:rsidRPr="00725E72" w:rsidRDefault="000450E2" w:rsidP="000E4AB0">
      <w:pPr>
        <w:tabs>
          <w:tab w:val="left" w:pos="993"/>
          <w:tab w:val="left" w:pos="3828"/>
          <w:tab w:val="left" w:pos="5670"/>
          <w:tab w:val="left" w:pos="7655"/>
        </w:tabs>
        <w:spacing w:after="120" w:line="480" w:lineRule="auto"/>
      </w:pPr>
      <w:r w:rsidRPr="00725E72">
        <w:tab/>
        <w:t>Hispanic, number (%)</w:t>
      </w:r>
      <w:r w:rsidRPr="00725E72">
        <w:tab/>
        <w:t>123 (2%)</w:t>
      </w:r>
      <w:r w:rsidRPr="00725E72">
        <w:tab/>
        <w:t>64 (2%)</w:t>
      </w:r>
    </w:p>
    <w:p w:rsidR="000450E2" w:rsidRPr="00725E72" w:rsidRDefault="000450E2" w:rsidP="000E4AB0">
      <w:pPr>
        <w:tabs>
          <w:tab w:val="left" w:pos="993"/>
          <w:tab w:val="left" w:pos="3828"/>
          <w:tab w:val="left" w:pos="5670"/>
          <w:tab w:val="left" w:pos="7655"/>
        </w:tabs>
        <w:spacing w:after="120" w:line="480" w:lineRule="auto"/>
      </w:pPr>
      <w:r w:rsidRPr="00725E72">
        <w:tab/>
        <w:t>Asian, number (%)</w:t>
      </w:r>
      <w:r w:rsidRPr="00725E72">
        <w:tab/>
        <w:t>269 (3%)</w:t>
      </w:r>
      <w:r w:rsidRPr="00725E72">
        <w:tab/>
        <w:t>7 (2%)</w:t>
      </w:r>
    </w:p>
    <w:p w:rsidR="000450E2" w:rsidRPr="00725E72" w:rsidRDefault="000450E2" w:rsidP="000E4AB0">
      <w:pPr>
        <w:tabs>
          <w:tab w:val="left" w:pos="993"/>
          <w:tab w:val="left" w:pos="3828"/>
          <w:tab w:val="left" w:pos="5670"/>
          <w:tab w:val="left" w:pos="7655"/>
        </w:tabs>
        <w:spacing w:after="120" w:line="480" w:lineRule="auto"/>
      </w:pPr>
      <w:r w:rsidRPr="00725E72">
        <w:tab/>
        <w:t>African, number (%)</w:t>
      </w:r>
      <w:r w:rsidRPr="00725E72">
        <w:tab/>
        <w:t>44 (0.5%)</w:t>
      </w:r>
      <w:r w:rsidRPr="00725E72">
        <w:tab/>
        <w:t>12 (0.4%)</w:t>
      </w:r>
    </w:p>
    <w:p w:rsidR="000450E2" w:rsidRPr="00725E72" w:rsidRDefault="000450E2" w:rsidP="000E4AB0">
      <w:pPr>
        <w:tabs>
          <w:tab w:val="left" w:pos="993"/>
          <w:tab w:val="left" w:pos="3828"/>
          <w:tab w:val="left" w:pos="5670"/>
          <w:tab w:val="left" w:pos="7655"/>
        </w:tabs>
        <w:spacing w:after="120" w:line="480" w:lineRule="auto"/>
      </w:pPr>
      <w:r w:rsidRPr="00725E72">
        <w:tab/>
      </w:r>
      <w:proofErr w:type="gramStart"/>
      <w:r w:rsidRPr="00725E72">
        <w:t>other</w:t>
      </w:r>
      <w:proofErr w:type="gramEnd"/>
      <w:r w:rsidRPr="00725E72">
        <w:t>, number (%)</w:t>
      </w:r>
      <w:r w:rsidRPr="00725E72">
        <w:tab/>
        <w:t>227 (3%)</w:t>
      </w:r>
      <w:r w:rsidRPr="00725E72">
        <w:tab/>
        <w:t>117 (4%)</w:t>
      </w:r>
    </w:p>
    <w:p w:rsidR="000450E2" w:rsidRPr="00725E72" w:rsidRDefault="000450E2" w:rsidP="000E4AB0">
      <w:pPr>
        <w:tabs>
          <w:tab w:val="left" w:pos="993"/>
          <w:tab w:val="left" w:pos="3828"/>
          <w:tab w:val="left" w:pos="5670"/>
          <w:tab w:val="left" w:pos="7655"/>
        </w:tabs>
        <w:spacing w:after="120" w:line="480" w:lineRule="auto"/>
      </w:pPr>
      <w:r w:rsidRPr="00725E72">
        <w:tab/>
      </w:r>
      <w:proofErr w:type="gramStart"/>
      <w:r w:rsidRPr="00725E72">
        <w:t>not</w:t>
      </w:r>
      <w:proofErr w:type="gramEnd"/>
      <w:r w:rsidRPr="00725E72">
        <w:t xml:space="preserve"> specified, number (%)</w:t>
      </w:r>
      <w:r w:rsidRPr="00725E72">
        <w:tab/>
        <w:t>2530 (31%)</w:t>
      </w:r>
      <w:r w:rsidRPr="00725E72">
        <w:tab/>
        <w:t>1023 (31%)</w:t>
      </w:r>
    </w:p>
    <w:p w:rsidR="000450E2" w:rsidRPr="00725E72" w:rsidRDefault="000450E2" w:rsidP="000E4AB0">
      <w:pPr>
        <w:tabs>
          <w:tab w:val="left" w:pos="426"/>
          <w:tab w:val="left" w:pos="3828"/>
          <w:tab w:val="left" w:pos="5670"/>
          <w:tab w:val="left" w:pos="7655"/>
        </w:tabs>
        <w:spacing w:after="120" w:line="480" w:lineRule="auto"/>
      </w:pPr>
      <w:proofErr w:type="gramStart"/>
      <w:r w:rsidRPr="00725E72">
        <w:t>follow-up</w:t>
      </w:r>
      <w:proofErr w:type="gramEnd"/>
      <w:r w:rsidRPr="00725E72">
        <w:t xml:space="preserve"> duration, years*</w:t>
      </w:r>
      <w:r w:rsidRPr="00725E72">
        <w:tab/>
        <w:t>5.8 (3, 9.5)</w:t>
      </w:r>
      <w:r w:rsidRPr="00725E72">
        <w:tab/>
        <w:t>5.9 (3.1, 9.7)</w:t>
      </w:r>
      <w:r w:rsidRPr="00725E72">
        <w:tab/>
        <w:t>0.01</w:t>
      </w:r>
    </w:p>
    <w:p w:rsidR="000450E2" w:rsidRPr="00725E72" w:rsidRDefault="000450E2" w:rsidP="000E4AB0">
      <w:pPr>
        <w:tabs>
          <w:tab w:val="left" w:pos="1560"/>
          <w:tab w:val="left" w:pos="3828"/>
          <w:tab w:val="left" w:pos="5670"/>
          <w:tab w:val="left" w:pos="7655"/>
        </w:tabs>
        <w:spacing w:after="120" w:line="480" w:lineRule="auto"/>
      </w:pPr>
      <w:proofErr w:type="gramStart"/>
      <w:r w:rsidRPr="00725E72">
        <w:t>disease</w:t>
      </w:r>
      <w:proofErr w:type="gramEnd"/>
      <w:r w:rsidRPr="00725E72">
        <w:t xml:space="preserve"> duration</w:t>
      </w:r>
    </w:p>
    <w:p w:rsidR="000450E2" w:rsidRPr="00725E72" w:rsidRDefault="000450E2" w:rsidP="000E4AB0">
      <w:pPr>
        <w:tabs>
          <w:tab w:val="left" w:pos="567"/>
          <w:tab w:val="left" w:pos="3828"/>
          <w:tab w:val="left" w:pos="5670"/>
          <w:tab w:val="left" w:pos="7655"/>
        </w:tabs>
        <w:spacing w:after="120" w:line="480" w:lineRule="auto"/>
      </w:pPr>
      <w:r w:rsidRPr="00725E72">
        <w:t xml:space="preserve"> </w:t>
      </w:r>
      <w:r w:rsidRPr="00725E72">
        <w:tab/>
        <w:t xml:space="preserve">- </w:t>
      </w:r>
      <w:proofErr w:type="gramStart"/>
      <w:r w:rsidRPr="00725E72">
        <w:t>at</w:t>
      </w:r>
      <w:proofErr w:type="gramEnd"/>
      <w:r w:rsidRPr="00725E72">
        <w:t xml:space="preserve"> inclusion, years*</w:t>
      </w:r>
      <w:r w:rsidRPr="00725E72">
        <w:tab/>
        <w:t>2.9 (0.4, 9.3)</w:t>
      </w:r>
      <w:r w:rsidRPr="00725E72">
        <w:tab/>
        <w:t>2.5 (0.4, 8.5)</w:t>
      </w:r>
      <w:r w:rsidRPr="00725E72">
        <w:tab/>
        <w:t>0.11</w:t>
      </w:r>
    </w:p>
    <w:p w:rsidR="000450E2" w:rsidRPr="00725E72" w:rsidRDefault="000450E2" w:rsidP="000E4AB0">
      <w:pPr>
        <w:tabs>
          <w:tab w:val="left" w:pos="567"/>
          <w:tab w:val="left" w:pos="3828"/>
          <w:tab w:val="left" w:pos="5670"/>
          <w:tab w:val="left" w:pos="7655"/>
        </w:tabs>
        <w:spacing w:after="120" w:line="480" w:lineRule="auto"/>
      </w:pPr>
      <w:r w:rsidRPr="00725E72">
        <w:tab/>
        <w:t xml:space="preserve">- </w:t>
      </w:r>
      <w:proofErr w:type="gramStart"/>
      <w:r w:rsidRPr="00725E72">
        <w:t>at</w:t>
      </w:r>
      <w:proofErr w:type="gramEnd"/>
      <w:r w:rsidRPr="00725E72">
        <w:t xml:space="preserve"> censoring, years*</w:t>
      </w:r>
      <w:r w:rsidRPr="00725E72">
        <w:tab/>
        <w:t>11.3 ( 6.2, 18.1)</w:t>
      </w:r>
      <w:r w:rsidRPr="00725E72">
        <w:tab/>
        <w:t>10.8 (6.1, 17.5)</w:t>
      </w:r>
      <w:r w:rsidRPr="00725E72">
        <w:tab/>
        <w:t>0.04</w:t>
      </w:r>
    </w:p>
    <w:p w:rsidR="000450E2" w:rsidRPr="00725E72" w:rsidRDefault="000450E2" w:rsidP="000E4AB0">
      <w:pPr>
        <w:tabs>
          <w:tab w:val="left" w:pos="3828"/>
          <w:tab w:val="left" w:pos="5670"/>
          <w:tab w:val="left" w:pos="7655"/>
        </w:tabs>
        <w:spacing w:after="120" w:line="480" w:lineRule="auto"/>
      </w:pPr>
      <w:proofErr w:type="gramStart"/>
      <w:r w:rsidRPr="00725E72">
        <w:t>relapses</w:t>
      </w:r>
      <w:proofErr w:type="gramEnd"/>
      <w:r w:rsidRPr="00725E72">
        <w:t>, number</w:t>
      </w:r>
      <w:r w:rsidRPr="00725E72">
        <w:tab/>
        <w:t>35725</w:t>
      </w:r>
      <w:r w:rsidRPr="00725E72">
        <w:tab/>
        <w:t>12637</w:t>
      </w:r>
    </w:p>
    <w:p w:rsidR="000450E2" w:rsidRPr="00725E72" w:rsidRDefault="000450E2" w:rsidP="000E4AB0">
      <w:pPr>
        <w:tabs>
          <w:tab w:val="left" w:pos="3828"/>
          <w:tab w:val="left" w:pos="5670"/>
          <w:tab w:val="left" w:pos="7655"/>
        </w:tabs>
        <w:spacing w:after="120" w:line="480" w:lineRule="auto"/>
      </w:pPr>
      <w:proofErr w:type="gramStart"/>
      <w:r w:rsidRPr="00725E72">
        <w:t>disease</w:t>
      </w:r>
      <w:proofErr w:type="gramEnd"/>
      <w:r w:rsidRPr="00725E72">
        <w:t xml:space="preserve"> course</w:t>
      </w:r>
    </w:p>
    <w:p w:rsidR="000450E2" w:rsidRPr="00725E72" w:rsidRDefault="000450E2" w:rsidP="000E4AB0">
      <w:pPr>
        <w:tabs>
          <w:tab w:val="left" w:pos="567"/>
          <w:tab w:val="left" w:pos="3828"/>
          <w:tab w:val="left" w:pos="5670"/>
          <w:tab w:val="left" w:pos="7655"/>
        </w:tabs>
        <w:spacing w:after="120" w:line="480" w:lineRule="auto"/>
      </w:pPr>
      <w:r w:rsidRPr="00725E72">
        <w:lastRenderedPageBreak/>
        <w:tab/>
        <w:t xml:space="preserve">- </w:t>
      </w:r>
      <w:proofErr w:type="gramStart"/>
      <w:r w:rsidRPr="00725E72">
        <w:t>at</w:t>
      </w:r>
      <w:proofErr w:type="gramEnd"/>
      <w:r w:rsidRPr="00725E72">
        <w:t xml:space="preserve"> inclusion</w:t>
      </w:r>
    </w:p>
    <w:p w:rsidR="000450E2" w:rsidRPr="00725E72" w:rsidRDefault="000450E2" w:rsidP="000E4AB0">
      <w:pPr>
        <w:tabs>
          <w:tab w:val="left" w:pos="993"/>
          <w:tab w:val="left" w:pos="3828"/>
          <w:tab w:val="left" w:pos="5670"/>
          <w:tab w:val="left" w:pos="7655"/>
        </w:tabs>
        <w:spacing w:after="120" w:line="480" w:lineRule="auto"/>
      </w:pPr>
      <w:r w:rsidRPr="00725E72">
        <w:tab/>
        <w:t>CIS, number (%)</w:t>
      </w:r>
      <w:r w:rsidRPr="00725E72">
        <w:tab/>
        <w:t>2981 (36%)</w:t>
      </w:r>
      <w:r w:rsidRPr="00725E72">
        <w:tab/>
        <w:t>1240 (38%)</w:t>
      </w:r>
      <w:r w:rsidRPr="00725E72">
        <w:tab/>
      </w:r>
    </w:p>
    <w:p w:rsidR="000450E2" w:rsidRPr="00725E72" w:rsidRDefault="000450E2" w:rsidP="000E4AB0">
      <w:pPr>
        <w:tabs>
          <w:tab w:val="left" w:pos="993"/>
          <w:tab w:val="left" w:pos="3828"/>
          <w:tab w:val="left" w:pos="5670"/>
          <w:tab w:val="left" w:pos="7655"/>
        </w:tabs>
        <w:spacing w:after="120" w:line="480" w:lineRule="auto"/>
      </w:pPr>
      <w:r w:rsidRPr="00725E72">
        <w:tab/>
        <w:t>RRMS, number (%)</w:t>
      </w:r>
      <w:r w:rsidRPr="00725E72">
        <w:tab/>
        <w:t>4731 (57%)</w:t>
      </w:r>
      <w:r w:rsidRPr="00725E72">
        <w:tab/>
        <w:t>1721 (53%)</w:t>
      </w:r>
    </w:p>
    <w:p w:rsidR="000450E2" w:rsidRPr="00725E72" w:rsidRDefault="000450E2" w:rsidP="000E4AB0">
      <w:pPr>
        <w:tabs>
          <w:tab w:val="left" w:pos="993"/>
          <w:tab w:val="left" w:pos="3828"/>
          <w:tab w:val="left" w:pos="5670"/>
          <w:tab w:val="left" w:pos="7655"/>
        </w:tabs>
        <w:spacing w:after="120" w:line="480" w:lineRule="auto"/>
      </w:pPr>
      <w:r w:rsidRPr="00725E72">
        <w:tab/>
        <w:t>SPMS, number (%)</w:t>
      </w:r>
      <w:r w:rsidRPr="00725E72">
        <w:tab/>
        <w:t>412 (5%)</w:t>
      </w:r>
      <w:r w:rsidRPr="00725E72">
        <w:tab/>
        <w:t>182 (6%)</w:t>
      </w:r>
    </w:p>
    <w:p w:rsidR="000450E2" w:rsidRPr="00725E72" w:rsidRDefault="000450E2" w:rsidP="000E4AB0">
      <w:pPr>
        <w:tabs>
          <w:tab w:val="left" w:pos="993"/>
          <w:tab w:val="left" w:pos="3828"/>
          <w:tab w:val="left" w:pos="5670"/>
          <w:tab w:val="left" w:pos="7655"/>
        </w:tabs>
        <w:spacing w:after="120" w:line="480" w:lineRule="auto"/>
      </w:pPr>
      <w:r w:rsidRPr="00725E72">
        <w:tab/>
        <w:t>RPMS, number (%)</w:t>
      </w:r>
      <w:r w:rsidRPr="00725E72">
        <w:tab/>
        <w:t>171 (2%)</w:t>
      </w:r>
      <w:r w:rsidRPr="00725E72">
        <w:tab/>
        <w:t>132 (4%)</w:t>
      </w:r>
    </w:p>
    <w:p w:rsidR="000450E2" w:rsidRPr="00725E72" w:rsidRDefault="000450E2" w:rsidP="000E4AB0">
      <w:pPr>
        <w:tabs>
          <w:tab w:val="left" w:pos="567"/>
          <w:tab w:val="left" w:pos="3828"/>
          <w:tab w:val="left" w:pos="5670"/>
          <w:tab w:val="left" w:pos="7655"/>
        </w:tabs>
        <w:spacing w:after="120" w:line="480" w:lineRule="auto"/>
      </w:pPr>
      <w:r w:rsidRPr="00725E72">
        <w:tab/>
        <w:t xml:space="preserve">- </w:t>
      </w:r>
      <w:proofErr w:type="gramStart"/>
      <w:r w:rsidRPr="00725E72">
        <w:t>at</w:t>
      </w:r>
      <w:proofErr w:type="gramEnd"/>
      <w:r w:rsidRPr="00725E72">
        <w:t xml:space="preserve"> censoring</w:t>
      </w:r>
    </w:p>
    <w:p w:rsidR="000450E2" w:rsidRPr="00725E72" w:rsidRDefault="000450E2" w:rsidP="000E4AB0">
      <w:pPr>
        <w:tabs>
          <w:tab w:val="left" w:pos="993"/>
          <w:tab w:val="left" w:pos="3828"/>
          <w:tab w:val="left" w:pos="5670"/>
          <w:tab w:val="left" w:pos="7655"/>
        </w:tabs>
        <w:spacing w:after="120" w:line="480" w:lineRule="auto"/>
      </w:pPr>
      <w:r w:rsidRPr="00725E72">
        <w:tab/>
        <w:t>CIS, number (%)</w:t>
      </w:r>
      <w:r w:rsidRPr="00725E72">
        <w:tab/>
        <w:t>1521 (18%)</w:t>
      </w:r>
      <w:r w:rsidRPr="00725E72">
        <w:tab/>
        <w:t>669 (20%)</w:t>
      </w:r>
    </w:p>
    <w:p w:rsidR="000450E2" w:rsidRPr="00725E72" w:rsidRDefault="000450E2" w:rsidP="000E4AB0">
      <w:pPr>
        <w:tabs>
          <w:tab w:val="left" w:pos="993"/>
          <w:tab w:val="left" w:pos="3828"/>
          <w:tab w:val="left" w:pos="5670"/>
          <w:tab w:val="left" w:pos="7655"/>
        </w:tabs>
        <w:spacing w:after="120" w:line="480" w:lineRule="auto"/>
      </w:pPr>
      <w:r w:rsidRPr="00725E72">
        <w:tab/>
        <w:t>RRMS, number (%)</w:t>
      </w:r>
      <w:r w:rsidRPr="00725E72">
        <w:tab/>
        <w:t>5488 (66%)</w:t>
      </w:r>
      <w:r w:rsidRPr="00725E72">
        <w:tab/>
        <w:t>1984 (61%)</w:t>
      </w:r>
    </w:p>
    <w:p w:rsidR="000450E2" w:rsidRPr="00725E72" w:rsidRDefault="000450E2" w:rsidP="000E4AB0">
      <w:pPr>
        <w:tabs>
          <w:tab w:val="left" w:pos="993"/>
          <w:tab w:val="left" w:pos="3828"/>
          <w:tab w:val="left" w:pos="5670"/>
          <w:tab w:val="left" w:pos="7655"/>
        </w:tabs>
        <w:spacing w:after="120" w:line="480" w:lineRule="auto"/>
      </w:pPr>
      <w:r w:rsidRPr="00725E72">
        <w:tab/>
        <w:t>SPMS, number (%)</w:t>
      </w:r>
      <w:r w:rsidRPr="00725E72">
        <w:tab/>
        <w:t>1115 (13%)</w:t>
      </w:r>
      <w:r w:rsidRPr="00725E72">
        <w:tab/>
        <w:t>490 (15%)</w:t>
      </w:r>
    </w:p>
    <w:p w:rsidR="000450E2" w:rsidRPr="00725E72" w:rsidRDefault="000450E2" w:rsidP="000E4AB0">
      <w:pPr>
        <w:tabs>
          <w:tab w:val="left" w:pos="993"/>
          <w:tab w:val="left" w:pos="3828"/>
          <w:tab w:val="left" w:pos="5670"/>
          <w:tab w:val="left" w:pos="7655"/>
        </w:tabs>
        <w:spacing w:after="120" w:line="480" w:lineRule="auto"/>
      </w:pPr>
      <w:r w:rsidRPr="00725E72">
        <w:tab/>
        <w:t>RPMS, number (%)</w:t>
      </w:r>
      <w:r w:rsidRPr="00725E72">
        <w:tab/>
        <w:t>171 (2%)</w:t>
      </w:r>
      <w:r w:rsidRPr="00725E72">
        <w:tab/>
        <w:t>132 (4%)</w:t>
      </w:r>
    </w:p>
    <w:p w:rsidR="000450E2" w:rsidRPr="00725E72" w:rsidRDefault="000450E2" w:rsidP="000E4AB0">
      <w:pPr>
        <w:keepNext/>
        <w:tabs>
          <w:tab w:val="left" w:pos="426"/>
          <w:tab w:val="left" w:pos="3828"/>
          <w:tab w:val="left" w:pos="5670"/>
          <w:tab w:val="left" w:pos="7655"/>
        </w:tabs>
        <w:spacing w:after="120" w:line="480" w:lineRule="auto"/>
      </w:pPr>
      <w:proofErr w:type="gramStart"/>
      <w:r w:rsidRPr="00725E72">
        <w:t>disability</w:t>
      </w:r>
      <w:proofErr w:type="gramEnd"/>
    </w:p>
    <w:p w:rsidR="000450E2" w:rsidRPr="00725E72" w:rsidRDefault="000450E2" w:rsidP="000E4AB0">
      <w:pPr>
        <w:tabs>
          <w:tab w:val="left" w:pos="567"/>
          <w:tab w:val="left" w:pos="3828"/>
          <w:tab w:val="left" w:pos="5670"/>
          <w:tab w:val="left" w:pos="7655"/>
        </w:tabs>
        <w:spacing w:after="120" w:line="480" w:lineRule="auto"/>
      </w:pPr>
      <w:r w:rsidRPr="00725E72">
        <w:tab/>
        <w:t xml:space="preserve">- </w:t>
      </w:r>
      <w:proofErr w:type="gramStart"/>
      <w:r w:rsidRPr="00725E72">
        <w:t>at</w:t>
      </w:r>
      <w:proofErr w:type="gramEnd"/>
      <w:r w:rsidRPr="00725E72">
        <w:t xml:space="preserve"> inclusion, EDSS*</w:t>
      </w:r>
      <w:r w:rsidRPr="00725E72">
        <w:tab/>
        <w:t>2 (1.5, 3.5)</w:t>
      </w:r>
      <w:r w:rsidRPr="00725E72">
        <w:tab/>
        <w:t>2.5 (1.5, 4)</w:t>
      </w:r>
      <w:r w:rsidRPr="00725E72">
        <w:tab/>
        <w:t>0.08</w:t>
      </w:r>
    </w:p>
    <w:p w:rsidR="000450E2" w:rsidRPr="00725E72" w:rsidRDefault="000450E2" w:rsidP="000E4AB0">
      <w:pPr>
        <w:tabs>
          <w:tab w:val="left" w:pos="567"/>
          <w:tab w:val="left" w:pos="3828"/>
          <w:tab w:val="left" w:pos="5670"/>
          <w:tab w:val="left" w:pos="7655"/>
        </w:tabs>
        <w:spacing w:after="120" w:line="480" w:lineRule="auto"/>
      </w:pPr>
      <w:r w:rsidRPr="00725E72">
        <w:tab/>
        <w:t xml:space="preserve">- </w:t>
      </w:r>
      <w:proofErr w:type="gramStart"/>
      <w:r w:rsidRPr="00725E72">
        <w:t>at</w:t>
      </w:r>
      <w:proofErr w:type="gramEnd"/>
      <w:r w:rsidRPr="00725E72">
        <w:t xml:space="preserve"> censoring, EDSS*</w:t>
      </w:r>
      <w:r w:rsidRPr="00725E72">
        <w:tab/>
        <w:t>2.5 (1.5, 5)</w:t>
      </w:r>
      <w:r w:rsidRPr="00725E72">
        <w:tab/>
        <w:t>3 (1.5, 6)</w:t>
      </w:r>
      <w:r w:rsidRPr="00725E72">
        <w:tab/>
        <w:t>0.14</w:t>
      </w:r>
    </w:p>
    <w:p w:rsidR="000450E2" w:rsidRPr="00725E72" w:rsidRDefault="000450E2" w:rsidP="000E4AB0">
      <w:pPr>
        <w:tabs>
          <w:tab w:val="left" w:pos="993"/>
          <w:tab w:val="left" w:pos="3828"/>
          <w:tab w:val="left" w:pos="5670"/>
          <w:tab w:val="left" w:pos="7655"/>
        </w:tabs>
        <w:spacing w:after="120" w:line="480" w:lineRule="auto"/>
      </w:pPr>
      <w:proofErr w:type="gramStart"/>
      <w:r w:rsidRPr="00725E72">
        <w:t>received</w:t>
      </w:r>
      <w:proofErr w:type="gramEnd"/>
      <w:r w:rsidRPr="00725E72">
        <w:t xml:space="preserve"> DMDs, number (%)</w:t>
      </w:r>
      <w:r w:rsidRPr="00725E72">
        <w:tab/>
        <w:t>3956 (48%)</w:t>
      </w:r>
      <w:r w:rsidRPr="00725E72">
        <w:tab/>
        <w:t>1617 (49%)</w:t>
      </w:r>
    </w:p>
    <w:p w:rsidR="000450E2" w:rsidRPr="00725E72" w:rsidRDefault="000450E2" w:rsidP="000E4AB0">
      <w:pPr>
        <w:tabs>
          <w:tab w:val="left" w:pos="567"/>
          <w:tab w:val="left" w:pos="3828"/>
          <w:tab w:val="left" w:pos="5670"/>
          <w:tab w:val="left" w:pos="7655"/>
        </w:tabs>
        <w:spacing w:after="120" w:line="480" w:lineRule="auto"/>
      </w:pPr>
      <w:r w:rsidRPr="00725E72">
        <w:tab/>
      </w:r>
    </w:p>
    <w:p w:rsidR="000450E2" w:rsidRPr="00725E72" w:rsidRDefault="000450E2" w:rsidP="000E4AB0">
      <w:pPr>
        <w:tabs>
          <w:tab w:val="left" w:pos="3828"/>
          <w:tab w:val="left" w:pos="5670"/>
        </w:tabs>
        <w:spacing w:after="120" w:line="480" w:lineRule="auto"/>
      </w:pPr>
    </w:p>
    <w:p w:rsidR="000450E2" w:rsidRPr="00725E72" w:rsidRDefault="000450E2" w:rsidP="000E4AB0">
      <w:pPr>
        <w:tabs>
          <w:tab w:val="left" w:pos="3828"/>
          <w:tab w:val="left" w:pos="5670"/>
        </w:tabs>
        <w:spacing w:after="120" w:line="480" w:lineRule="auto"/>
      </w:pPr>
      <w:r w:rsidRPr="00725E72">
        <w:t>*, median (interquartile range); otherwise mean ± standard deviation are shown</w:t>
      </w:r>
    </w:p>
    <w:p w:rsidR="000450E2" w:rsidRPr="00725E72" w:rsidRDefault="000450E2" w:rsidP="000E4AB0">
      <w:pPr>
        <w:tabs>
          <w:tab w:val="left" w:pos="3828"/>
          <w:tab w:val="left" w:pos="5670"/>
        </w:tabs>
        <w:spacing w:after="120" w:line="480" w:lineRule="auto"/>
      </w:pPr>
      <w:r w:rsidRPr="00725E72">
        <w:t>CIS, clinically isolated syndrome; DMDs, disease modifying drugs; EDSS, Extended Disability Status Scale; RPMS, relapsing-progressive multiple sclerosis; RRMS, relapsing-remitting multiple sclerosis; SPMS, secondary progressive multiple sclerosis</w:t>
      </w:r>
      <w:r w:rsidRPr="00725E72">
        <w:rPr>
          <w:rFonts w:cs="Arial"/>
          <w:b/>
          <w:sz w:val="24"/>
          <w:szCs w:val="24"/>
        </w:rPr>
        <w:br w:type="page"/>
      </w:r>
    </w:p>
    <w:p w:rsidR="000450E2" w:rsidRPr="00725E72" w:rsidRDefault="000450E2" w:rsidP="000E4AB0">
      <w:pPr>
        <w:tabs>
          <w:tab w:val="left" w:pos="3828"/>
          <w:tab w:val="left" w:pos="5670"/>
        </w:tabs>
        <w:spacing w:after="120" w:line="480" w:lineRule="auto"/>
        <w:rPr>
          <w:rFonts w:cs="Arial"/>
          <w:b/>
          <w:sz w:val="24"/>
          <w:szCs w:val="24"/>
        </w:rPr>
      </w:pPr>
      <w:r w:rsidRPr="00725E72">
        <w:rPr>
          <w:rFonts w:cs="Arial"/>
          <w:b/>
          <w:sz w:val="24"/>
          <w:szCs w:val="24"/>
        </w:rPr>
        <w:lastRenderedPageBreak/>
        <w:t>Table 2</w:t>
      </w:r>
    </w:p>
    <w:p w:rsidR="000450E2" w:rsidRPr="00725E72" w:rsidRDefault="000450E2" w:rsidP="000E4AB0">
      <w:pPr>
        <w:spacing w:after="120" w:line="480" w:lineRule="auto"/>
        <w:rPr>
          <w:rFonts w:cs="Arial"/>
          <w:b/>
          <w:sz w:val="24"/>
          <w:szCs w:val="24"/>
        </w:rPr>
      </w:pPr>
      <w:r w:rsidRPr="00725E72">
        <w:rPr>
          <w:rFonts w:cs="Arial"/>
          <w:b/>
          <w:sz w:val="24"/>
          <w:szCs w:val="24"/>
        </w:rPr>
        <w:t>Characteristics of the group with primary progressive MS course</w:t>
      </w:r>
    </w:p>
    <w:p w:rsidR="000450E2" w:rsidRPr="00725E72" w:rsidRDefault="000450E2" w:rsidP="000E4AB0">
      <w:pPr>
        <w:tabs>
          <w:tab w:val="left" w:pos="3828"/>
          <w:tab w:val="left" w:pos="5670"/>
          <w:tab w:val="left" w:pos="7655"/>
        </w:tabs>
        <w:spacing w:after="120" w:line="480" w:lineRule="auto"/>
        <w:rPr>
          <w:rFonts w:cs="Arial"/>
          <w:b/>
          <w:sz w:val="24"/>
          <w:szCs w:val="24"/>
        </w:rPr>
      </w:pPr>
      <w:r w:rsidRPr="00725E72">
        <w:rPr>
          <w:rFonts w:cs="Arial"/>
          <w:b/>
          <w:sz w:val="24"/>
          <w:szCs w:val="24"/>
        </w:rPr>
        <w:tab/>
      </w:r>
    </w:p>
    <w:p w:rsidR="000450E2" w:rsidRPr="00725E72" w:rsidRDefault="000450E2" w:rsidP="000E4AB0">
      <w:pPr>
        <w:tabs>
          <w:tab w:val="left" w:pos="3828"/>
          <w:tab w:val="left" w:pos="5670"/>
          <w:tab w:val="left" w:pos="7655"/>
        </w:tabs>
        <w:spacing w:after="120" w:line="480" w:lineRule="auto"/>
      </w:pPr>
      <w:proofErr w:type="gramStart"/>
      <w:r w:rsidRPr="00725E72">
        <w:t>patients</w:t>
      </w:r>
      <w:proofErr w:type="gramEnd"/>
      <w:r w:rsidRPr="00725E72">
        <w:t>, number(females, %)</w:t>
      </w:r>
      <w:r w:rsidRPr="00725E72">
        <w:tab/>
        <w:t>881 (55%)</w:t>
      </w:r>
    </w:p>
    <w:p w:rsidR="000450E2" w:rsidRPr="00725E72" w:rsidRDefault="000450E2" w:rsidP="000E4AB0">
      <w:pPr>
        <w:tabs>
          <w:tab w:val="left" w:pos="426"/>
          <w:tab w:val="left" w:pos="3828"/>
          <w:tab w:val="left" w:pos="5670"/>
          <w:tab w:val="left" w:pos="7655"/>
        </w:tabs>
        <w:spacing w:after="120" w:line="480" w:lineRule="auto"/>
      </w:pPr>
      <w:proofErr w:type="gramStart"/>
      <w:r w:rsidRPr="00725E72">
        <w:t>age</w:t>
      </w:r>
      <w:proofErr w:type="gramEnd"/>
    </w:p>
    <w:p w:rsidR="000450E2" w:rsidRPr="00725E72" w:rsidRDefault="000450E2" w:rsidP="000E4AB0">
      <w:pPr>
        <w:tabs>
          <w:tab w:val="left" w:pos="567"/>
          <w:tab w:val="left" w:pos="3828"/>
          <w:tab w:val="left" w:pos="5670"/>
          <w:tab w:val="left" w:pos="7655"/>
        </w:tabs>
        <w:spacing w:after="120" w:line="480" w:lineRule="auto"/>
      </w:pPr>
      <w:r w:rsidRPr="00725E72">
        <w:tab/>
        <w:t xml:space="preserve">- </w:t>
      </w:r>
      <w:proofErr w:type="gramStart"/>
      <w:r w:rsidRPr="00725E72">
        <w:t>at</w:t>
      </w:r>
      <w:proofErr w:type="gramEnd"/>
      <w:r w:rsidRPr="00725E72">
        <w:t xml:space="preserve"> inclusion, years</w:t>
      </w:r>
      <w:r w:rsidRPr="00725E72">
        <w:tab/>
        <w:t>49.4 ± 11.0</w:t>
      </w:r>
      <w:r w:rsidRPr="00725E72">
        <w:tab/>
      </w:r>
    </w:p>
    <w:p w:rsidR="000450E2" w:rsidRPr="00725E72" w:rsidRDefault="000450E2" w:rsidP="000E4AB0">
      <w:pPr>
        <w:tabs>
          <w:tab w:val="left" w:pos="567"/>
          <w:tab w:val="left" w:pos="3828"/>
          <w:tab w:val="left" w:pos="5670"/>
          <w:tab w:val="left" w:pos="7655"/>
        </w:tabs>
        <w:spacing w:after="120" w:line="480" w:lineRule="auto"/>
      </w:pPr>
      <w:r w:rsidRPr="00725E72">
        <w:tab/>
        <w:t xml:space="preserve">- </w:t>
      </w:r>
      <w:proofErr w:type="gramStart"/>
      <w:r w:rsidRPr="00725E72">
        <w:t>at</w:t>
      </w:r>
      <w:proofErr w:type="gramEnd"/>
      <w:r w:rsidRPr="00725E72">
        <w:t xml:space="preserve"> censoring, years</w:t>
      </w:r>
      <w:r w:rsidRPr="00725E72">
        <w:tab/>
        <w:t>53.9 ± 11.2</w:t>
      </w:r>
      <w:r w:rsidRPr="00725E72">
        <w:tab/>
      </w:r>
    </w:p>
    <w:p w:rsidR="000450E2" w:rsidRPr="00725E72" w:rsidRDefault="000450E2" w:rsidP="000E4AB0">
      <w:pPr>
        <w:tabs>
          <w:tab w:val="left" w:pos="426"/>
          <w:tab w:val="left" w:pos="3828"/>
          <w:tab w:val="left" w:pos="5670"/>
          <w:tab w:val="left" w:pos="7655"/>
        </w:tabs>
        <w:spacing w:after="120" w:line="480" w:lineRule="auto"/>
      </w:pPr>
      <w:proofErr w:type="gramStart"/>
      <w:r w:rsidRPr="00725E72">
        <w:t>follow-up</w:t>
      </w:r>
      <w:proofErr w:type="gramEnd"/>
      <w:r w:rsidRPr="00725E72">
        <w:t xml:space="preserve"> duration, years*</w:t>
      </w:r>
      <w:r w:rsidRPr="00725E72">
        <w:tab/>
        <w:t>2.6 (0.5, 7.0)</w:t>
      </w:r>
      <w:r w:rsidRPr="00725E72">
        <w:tab/>
      </w:r>
    </w:p>
    <w:p w:rsidR="000450E2" w:rsidRPr="00725E72" w:rsidRDefault="000450E2" w:rsidP="000E4AB0">
      <w:pPr>
        <w:tabs>
          <w:tab w:val="left" w:pos="1560"/>
          <w:tab w:val="left" w:pos="3828"/>
          <w:tab w:val="left" w:pos="5670"/>
          <w:tab w:val="left" w:pos="7655"/>
        </w:tabs>
        <w:spacing w:after="120" w:line="480" w:lineRule="auto"/>
      </w:pPr>
      <w:proofErr w:type="gramStart"/>
      <w:r w:rsidRPr="00725E72">
        <w:t>disease</w:t>
      </w:r>
      <w:proofErr w:type="gramEnd"/>
      <w:r w:rsidRPr="00725E72">
        <w:t xml:space="preserve"> duration</w:t>
      </w:r>
    </w:p>
    <w:p w:rsidR="000450E2" w:rsidRPr="00725E72" w:rsidRDefault="000450E2" w:rsidP="000E4AB0">
      <w:pPr>
        <w:tabs>
          <w:tab w:val="left" w:pos="567"/>
          <w:tab w:val="left" w:pos="3828"/>
          <w:tab w:val="left" w:pos="5670"/>
          <w:tab w:val="left" w:pos="7655"/>
        </w:tabs>
        <w:spacing w:after="120" w:line="480" w:lineRule="auto"/>
      </w:pPr>
      <w:r w:rsidRPr="00725E72">
        <w:t xml:space="preserve"> </w:t>
      </w:r>
      <w:r w:rsidRPr="00725E72">
        <w:tab/>
        <w:t xml:space="preserve">- </w:t>
      </w:r>
      <w:proofErr w:type="gramStart"/>
      <w:r w:rsidRPr="00725E72">
        <w:t>at</w:t>
      </w:r>
      <w:proofErr w:type="gramEnd"/>
      <w:r w:rsidRPr="00725E72">
        <w:t xml:space="preserve"> inclusion, years*</w:t>
      </w:r>
      <w:r w:rsidRPr="00725E72">
        <w:tab/>
        <w:t>5.8 (2.6, 11.4)</w:t>
      </w:r>
      <w:r w:rsidRPr="00725E72">
        <w:tab/>
      </w:r>
    </w:p>
    <w:p w:rsidR="000450E2" w:rsidRPr="00725E72" w:rsidRDefault="000450E2" w:rsidP="000E4AB0">
      <w:pPr>
        <w:tabs>
          <w:tab w:val="left" w:pos="567"/>
          <w:tab w:val="left" w:pos="3828"/>
          <w:tab w:val="left" w:pos="5670"/>
          <w:tab w:val="left" w:pos="7655"/>
        </w:tabs>
        <w:spacing w:after="120" w:line="480" w:lineRule="auto"/>
      </w:pPr>
      <w:r w:rsidRPr="00725E72">
        <w:tab/>
        <w:t xml:space="preserve">- </w:t>
      </w:r>
      <w:proofErr w:type="gramStart"/>
      <w:r w:rsidRPr="00725E72">
        <w:t>at</w:t>
      </w:r>
      <w:proofErr w:type="gramEnd"/>
      <w:r w:rsidRPr="00725E72">
        <w:t xml:space="preserve"> censoring, years*</w:t>
      </w:r>
      <w:r w:rsidRPr="00725E72">
        <w:tab/>
        <w:t>10.8 (6.2, 17.5)</w:t>
      </w:r>
      <w:r w:rsidRPr="00725E72">
        <w:tab/>
      </w:r>
    </w:p>
    <w:p w:rsidR="000450E2" w:rsidRPr="00725E72" w:rsidRDefault="000450E2" w:rsidP="000E4AB0">
      <w:pPr>
        <w:tabs>
          <w:tab w:val="left" w:pos="426"/>
          <w:tab w:val="left" w:pos="3828"/>
          <w:tab w:val="left" w:pos="5670"/>
          <w:tab w:val="left" w:pos="7655"/>
        </w:tabs>
        <w:spacing w:after="120" w:line="480" w:lineRule="auto"/>
      </w:pPr>
      <w:proofErr w:type="gramStart"/>
      <w:r w:rsidRPr="00725E72">
        <w:t>disability</w:t>
      </w:r>
      <w:proofErr w:type="gramEnd"/>
    </w:p>
    <w:p w:rsidR="000450E2" w:rsidRPr="00725E72" w:rsidRDefault="000450E2" w:rsidP="000E4AB0">
      <w:pPr>
        <w:tabs>
          <w:tab w:val="left" w:pos="567"/>
          <w:tab w:val="left" w:pos="3828"/>
          <w:tab w:val="left" w:pos="5670"/>
          <w:tab w:val="left" w:pos="7655"/>
        </w:tabs>
        <w:spacing w:after="120" w:line="480" w:lineRule="auto"/>
      </w:pPr>
      <w:r w:rsidRPr="00725E72">
        <w:tab/>
        <w:t xml:space="preserve">- </w:t>
      </w:r>
      <w:proofErr w:type="gramStart"/>
      <w:r w:rsidRPr="00725E72">
        <w:t>at</w:t>
      </w:r>
      <w:proofErr w:type="gramEnd"/>
      <w:r w:rsidRPr="00725E72">
        <w:t xml:space="preserve"> inclusion, EDSS*</w:t>
      </w:r>
      <w:r w:rsidRPr="00725E72">
        <w:tab/>
        <w:t>5 (3.5, 6.5)</w:t>
      </w:r>
      <w:r w:rsidRPr="00725E72">
        <w:tab/>
      </w:r>
    </w:p>
    <w:p w:rsidR="000450E2" w:rsidRPr="00725E72" w:rsidRDefault="000450E2" w:rsidP="000E4AB0">
      <w:pPr>
        <w:tabs>
          <w:tab w:val="left" w:pos="567"/>
          <w:tab w:val="left" w:pos="3828"/>
          <w:tab w:val="left" w:pos="5670"/>
          <w:tab w:val="left" w:pos="7655"/>
        </w:tabs>
        <w:spacing w:after="120" w:line="480" w:lineRule="auto"/>
      </w:pPr>
      <w:r w:rsidRPr="00725E72">
        <w:tab/>
        <w:t xml:space="preserve">- </w:t>
      </w:r>
      <w:proofErr w:type="gramStart"/>
      <w:r w:rsidRPr="00725E72">
        <w:t>at</w:t>
      </w:r>
      <w:proofErr w:type="gramEnd"/>
      <w:r w:rsidRPr="00725E72">
        <w:t xml:space="preserve"> censoring, EDSS*</w:t>
      </w:r>
      <w:r w:rsidRPr="00725E72">
        <w:tab/>
        <w:t>6 (4, 7)</w:t>
      </w:r>
      <w:r w:rsidRPr="00725E72">
        <w:tab/>
      </w:r>
    </w:p>
    <w:p w:rsidR="000450E2" w:rsidRPr="00725E72" w:rsidRDefault="000450E2" w:rsidP="000E4AB0">
      <w:pPr>
        <w:tabs>
          <w:tab w:val="left" w:pos="993"/>
          <w:tab w:val="left" w:pos="3828"/>
          <w:tab w:val="left" w:pos="5670"/>
          <w:tab w:val="left" w:pos="7655"/>
        </w:tabs>
        <w:spacing w:after="120" w:line="480" w:lineRule="auto"/>
      </w:pPr>
      <w:proofErr w:type="gramStart"/>
      <w:r w:rsidRPr="00725E72">
        <w:t>received</w:t>
      </w:r>
      <w:proofErr w:type="gramEnd"/>
      <w:r w:rsidRPr="00725E72">
        <w:t xml:space="preserve"> DMDs, number (%)</w:t>
      </w:r>
      <w:r w:rsidRPr="00725E72">
        <w:tab/>
        <w:t>190 (22%)</w:t>
      </w:r>
    </w:p>
    <w:p w:rsidR="000450E2" w:rsidRPr="00725E72" w:rsidRDefault="000450E2" w:rsidP="000E4AB0">
      <w:pPr>
        <w:tabs>
          <w:tab w:val="left" w:pos="3828"/>
          <w:tab w:val="left" w:pos="5670"/>
        </w:tabs>
        <w:spacing w:after="120" w:line="480" w:lineRule="auto"/>
        <w:rPr>
          <w:rFonts w:cs="Arial"/>
          <w:b/>
          <w:sz w:val="24"/>
          <w:szCs w:val="24"/>
        </w:rPr>
      </w:pPr>
    </w:p>
    <w:p w:rsidR="000450E2" w:rsidRPr="00725E72" w:rsidRDefault="000450E2" w:rsidP="000E4AB0">
      <w:pPr>
        <w:spacing w:line="480" w:lineRule="auto"/>
        <w:rPr>
          <w:rFonts w:cs="Arial"/>
          <w:sz w:val="24"/>
          <w:szCs w:val="24"/>
        </w:rPr>
      </w:pPr>
      <w:r w:rsidRPr="00725E72">
        <w:rPr>
          <w:rFonts w:cs="Arial"/>
          <w:sz w:val="24"/>
          <w:szCs w:val="24"/>
        </w:rPr>
        <w:t>*, median (interquartile range); otherwise mean ± standard deviation are shown</w:t>
      </w:r>
    </w:p>
    <w:p w:rsidR="000450E2" w:rsidRPr="00725E72" w:rsidRDefault="000450E2" w:rsidP="000E4AB0">
      <w:pPr>
        <w:spacing w:line="480" w:lineRule="auto"/>
        <w:rPr>
          <w:rFonts w:cs="Arial"/>
          <w:b/>
          <w:sz w:val="24"/>
          <w:szCs w:val="24"/>
        </w:rPr>
      </w:pPr>
      <w:r w:rsidRPr="00725E72">
        <w:rPr>
          <w:rFonts w:cs="Arial"/>
          <w:sz w:val="24"/>
          <w:szCs w:val="24"/>
        </w:rPr>
        <w:t>DMDs, disease modifying drugs; EDSS, Extended Disability Status Scale</w:t>
      </w:r>
      <w:r w:rsidRPr="00725E72">
        <w:rPr>
          <w:rFonts w:cs="Arial"/>
          <w:b/>
          <w:sz w:val="24"/>
          <w:szCs w:val="24"/>
        </w:rPr>
        <w:br w:type="page"/>
      </w:r>
    </w:p>
    <w:p w:rsidR="000450E2" w:rsidRPr="00725E72" w:rsidRDefault="000450E2" w:rsidP="000E4AB0">
      <w:pPr>
        <w:spacing w:after="120" w:line="480" w:lineRule="auto"/>
        <w:rPr>
          <w:rFonts w:cs="Arial"/>
          <w:b/>
          <w:sz w:val="24"/>
          <w:szCs w:val="24"/>
        </w:rPr>
      </w:pPr>
      <w:r w:rsidRPr="00725E72">
        <w:rPr>
          <w:rFonts w:cs="Arial"/>
          <w:b/>
          <w:sz w:val="24"/>
          <w:szCs w:val="24"/>
        </w:rPr>
        <w:lastRenderedPageBreak/>
        <w:t>FIGURE LEGENDS</w:t>
      </w:r>
    </w:p>
    <w:p w:rsidR="000450E2" w:rsidRPr="00725E72" w:rsidRDefault="000450E2" w:rsidP="000E4AB0">
      <w:pPr>
        <w:spacing w:after="120" w:line="480" w:lineRule="auto"/>
        <w:rPr>
          <w:rFonts w:cs="Arial"/>
          <w:b/>
          <w:sz w:val="24"/>
          <w:szCs w:val="24"/>
        </w:rPr>
      </w:pPr>
      <w:r w:rsidRPr="00725E72">
        <w:rPr>
          <w:rFonts w:cs="Arial"/>
          <w:b/>
          <w:sz w:val="24"/>
          <w:szCs w:val="24"/>
        </w:rPr>
        <w:t>Figure 1</w:t>
      </w:r>
    </w:p>
    <w:p w:rsidR="000450E2" w:rsidRPr="00725E72" w:rsidRDefault="000450E2" w:rsidP="000E4AB0">
      <w:pPr>
        <w:spacing w:after="120" w:line="480" w:lineRule="auto"/>
        <w:rPr>
          <w:rFonts w:cs="Arial"/>
          <w:sz w:val="24"/>
          <w:szCs w:val="24"/>
        </w:rPr>
      </w:pPr>
      <w:r w:rsidRPr="00725E72">
        <w:rPr>
          <w:rFonts w:cs="Arial"/>
          <w:sz w:val="24"/>
          <w:szCs w:val="24"/>
        </w:rPr>
        <w:t>CONSORT flowchart of patient disposition</w:t>
      </w:r>
    </w:p>
    <w:p w:rsidR="000450E2" w:rsidRPr="00725E72" w:rsidRDefault="000450E2" w:rsidP="000E4AB0">
      <w:pPr>
        <w:spacing w:after="120" w:line="480" w:lineRule="auto"/>
        <w:rPr>
          <w:rFonts w:cs="Arial"/>
          <w:sz w:val="24"/>
          <w:szCs w:val="24"/>
        </w:rPr>
      </w:pPr>
    </w:p>
    <w:p w:rsidR="000450E2" w:rsidRPr="00725E72" w:rsidRDefault="000450E2" w:rsidP="000E4AB0">
      <w:pPr>
        <w:spacing w:after="120" w:line="480" w:lineRule="auto"/>
        <w:rPr>
          <w:rFonts w:cs="Arial"/>
          <w:sz w:val="24"/>
          <w:szCs w:val="24"/>
        </w:rPr>
      </w:pPr>
      <w:r w:rsidRPr="00725E72">
        <w:rPr>
          <w:rFonts w:cs="Arial"/>
          <w:noProof/>
          <w:sz w:val="24"/>
          <w:szCs w:val="24"/>
          <w:lang w:eastAsia="en-AU"/>
        </w:rPr>
        <w:drawing>
          <wp:inline distT="0" distB="0" distL="0" distR="0" wp14:anchorId="604BFBE1" wp14:editId="5E0AC333">
            <wp:extent cx="3200400" cy="2121535"/>
            <wp:effectExtent l="0" t="0" r="0" b="0"/>
            <wp:docPr id="1" name="Picture 1" descr="D:\Oddysea\Veda - publikacyje\Paper 25 - Kalo - Sex and relapses\Fig1-small.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Oddysea\Veda - publikacyje\Paper 25 - Kalo - Sex and relapses\Fig1-small.tif"/>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3200400" cy="2121535"/>
                    </a:xfrm>
                    <a:prstGeom prst="rect">
                      <a:avLst/>
                    </a:prstGeom>
                    <a:noFill/>
                    <a:ln>
                      <a:noFill/>
                    </a:ln>
                  </pic:spPr>
                </pic:pic>
              </a:graphicData>
            </a:graphic>
          </wp:inline>
        </w:drawing>
      </w:r>
    </w:p>
    <w:p w:rsidR="000450E2" w:rsidRPr="00725E72" w:rsidRDefault="000450E2" w:rsidP="000E4AB0">
      <w:pPr>
        <w:spacing w:after="120" w:line="480" w:lineRule="auto"/>
        <w:rPr>
          <w:rFonts w:cs="Arial"/>
          <w:sz w:val="24"/>
          <w:szCs w:val="24"/>
        </w:rPr>
      </w:pPr>
    </w:p>
    <w:p w:rsidR="000450E2" w:rsidRPr="00725E72" w:rsidRDefault="000450E2" w:rsidP="000E4AB0">
      <w:pPr>
        <w:spacing w:after="120" w:line="480" w:lineRule="auto"/>
        <w:rPr>
          <w:rFonts w:cs="Arial"/>
          <w:b/>
          <w:sz w:val="24"/>
          <w:szCs w:val="24"/>
        </w:rPr>
      </w:pPr>
      <w:r w:rsidRPr="00725E72">
        <w:rPr>
          <w:rFonts w:cs="Arial"/>
          <w:sz w:val="24"/>
          <w:szCs w:val="24"/>
        </w:rPr>
        <w:t xml:space="preserve">CIS, clinically isolated syndrome; MS, multiple sclerosis; PPMS primary progressive MS; </w:t>
      </w:r>
      <w:r w:rsidRPr="00725E72">
        <w:t>RPMS, relapsing-progressive multiple sclerosis; RRMS, relapsing-remitting multiple sclerosis; SPMS, secondary progressive multiple sclerosis</w:t>
      </w:r>
    </w:p>
    <w:p w:rsidR="000450E2" w:rsidRPr="00725E72" w:rsidRDefault="000450E2" w:rsidP="000E4AB0">
      <w:pPr>
        <w:spacing w:line="480" w:lineRule="auto"/>
        <w:rPr>
          <w:rFonts w:cs="Arial"/>
          <w:b/>
          <w:sz w:val="24"/>
          <w:szCs w:val="24"/>
        </w:rPr>
      </w:pPr>
    </w:p>
    <w:p w:rsidR="000E4AB0" w:rsidRPr="00725E72" w:rsidRDefault="000E4AB0" w:rsidP="000E4AB0">
      <w:pPr>
        <w:spacing w:line="480" w:lineRule="auto"/>
        <w:rPr>
          <w:rFonts w:cs="Arial"/>
          <w:b/>
          <w:sz w:val="24"/>
          <w:szCs w:val="24"/>
        </w:rPr>
      </w:pPr>
    </w:p>
    <w:p w:rsidR="000E4AB0" w:rsidRPr="00725E72" w:rsidRDefault="000E4AB0" w:rsidP="000E4AB0">
      <w:pPr>
        <w:spacing w:line="480" w:lineRule="auto"/>
        <w:rPr>
          <w:rFonts w:cs="Arial"/>
          <w:b/>
          <w:sz w:val="24"/>
          <w:szCs w:val="24"/>
        </w:rPr>
      </w:pPr>
    </w:p>
    <w:p w:rsidR="000E4AB0" w:rsidRPr="00725E72" w:rsidRDefault="000E4AB0" w:rsidP="000E4AB0">
      <w:pPr>
        <w:spacing w:line="480" w:lineRule="auto"/>
        <w:rPr>
          <w:rFonts w:cs="Arial"/>
          <w:b/>
          <w:sz w:val="24"/>
          <w:szCs w:val="24"/>
        </w:rPr>
      </w:pPr>
    </w:p>
    <w:p w:rsidR="000450E2" w:rsidRPr="00725E72" w:rsidRDefault="000450E2" w:rsidP="000E4AB0">
      <w:pPr>
        <w:spacing w:after="120" w:line="480" w:lineRule="auto"/>
        <w:rPr>
          <w:rFonts w:cs="Arial"/>
          <w:b/>
          <w:sz w:val="24"/>
          <w:szCs w:val="24"/>
        </w:rPr>
      </w:pPr>
      <w:r w:rsidRPr="00725E72">
        <w:rPr>
          <w:rFonts w:cs="Arial"/>
          <w:b/>
          <w:sz w:val="24"/>
          <w:szCs w:val="24"/>
        </w:rPr>
        <w:t>Figure 2</w:t>
      </w:r>
    </w:p>
    <w:p w:rsidR="000450E2" w:rsidRPr="00725E72" w:rsidRDefault="000450E2" w:rsidP="000E4AB0">
      <w:pPr>
        <w:spacing w:after="120" w:line="480" w:lineRule="auto"/>
        <w:rPr>
          <w:rFonts w:cs="Arial"/>
          <w:b/>
          <w:sz w:val="24"/>
          <w:szCs w:val="24"/>
        </w:rPr>
      </w:pPr>
      <w:r w:rsidRPr="00725E72">
        <w:rPr>
          <w:rFonts w:cs="Arial"/>
          <w:sz w:val="24"/>
          <w:szCs w:val="24"/>
        </w:rPr>
        <w:t>Incidence of relapses in women and men with relapse-onset disease course, stratified by disease duration and chronological age</w:t>
      </w:r>
    </w:p>
    <w:p w:rsidR="000450E2" w:rsidRPr="00725E72" w:rsidRDefault="000450E2" w:rsidP="000E4AB0">
      <w:pPr>
        <w:spacing w:after="120" w:line="480" w:lineRule="auto"/>
        <w:rPr>
          <w:rFonts w:cs="Arial"/>
          <w:sz w:val="24"/>
          <w:szCs w:val="24"/>
        </w:rPr>
      </w:pPr>
      <w:r w:rsidRPr="00725E72">
        <w:rPr>
          <w:rFonts w:cs="Arial"/>
          <w:noProof/>
          <w:sz w:val="24"/>
          <w:szCs w:val="24"/>
          <w:lang w:eastAsia="en-AU"/>
        </w:rPr>
        <w:lastRenderedPageBreak/>
        <w:drawing>
          <wp:inline distT="0" distB="0" distL="0" distR="0" wp14:anchorId="5DEF5AE9" wp14:editId="427F7F40">
            <wp:extent cx="5273040" cy="8011160"/>
            <wp:effectExtent l="0" t="0" r="3810" b="8890"/>
            <wp:docPr id="12" name="Picture 12" descr="D:\Oddysea\Veda - publikacyje\Paper 25 - Kalo - Sex and relapses\Fig2-small.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D:\Oddysea\Veda - publikacyje\Paper 25 - Kalo - Sex and relapses\Fig2-small.tif"/>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273040" cy="8011160"/>
                    </a:xfrm>
                    <a:prstGeom prst="rect">
                      <a:avLst/>
                    </a:prstGeom>
                    <a:noFill/>
                    <a:ln>
                      <a:noFill/>
                    </a:ln>
                  </pic:spPr>
                </pic:pic>
              </a:graphicData>
            </a:graphic>
          </wp:inline>
        </w:drawing>
      </w:r>
    </w:p>
    <w:p w:rsidR="000450E2" w:rsidRPr="00725E72" w:rsidRDefault="000450E2" w:rsidP="000E4AB0">
      <w:pPr>
        <w:spacing w:after="120" w:line="480" w:lineRule="auto"/>
        <w:rPr>
          <w:rFonts w:cs="Arial"/>
          <w:sz w:val="24"/>
          <w:szCs w:val="24"/>
        </w:rPr>
      </w:pPr>
      <w:r w:rsidRPr="00725E72">
        <w:rPr>
          <w:rFonts w:cs="Arial"/>
          <w:sz w:val="24"/>
          <w:szCs w:val="24"/>
        </w:rPr>
        <w:t xml:space="preserve">Patient disposition (A-B) is only shown for patients with complete respective observational years. Annualised relapse rate unadjusted for other potential confounders (C-D) and </w:t>
      </w:r>
      <w:r w:rsidRPr="00725E72">
        <w:rPr>
          <w:rFonts w:cs="Arial"/>
          <w:sz w:val="24"/>
          <w:szCs w:val="24"/>
        </w:rPr>
        <w:lastRenderedPageBreak/>
        <w:t xml:space="preserve">adjusted for age (E) or disease duration (F), treatment and pregnancy using </w:t>
      </w:r>
      <w:proofErr w:type="spellStart"/>
      <w:r w:rsidRPr="00725E72">
        <w:rPr>
          <w:rFonts w:cs="Arial"/>
          <w:sz w:val="24"/>
          <w:szCs w:val="24"/>
        </w:rPr>
        <w:t>Tweedie</w:t>
      </w:r>
      <w:proofErr w:type="spellEnd"/>
      <w:r w:rsidRPr="00725E72">
        <w:rPr>
          <w:rFonts w:cs="Arial"/>
          <w:sz w:val="24"/>
          <w:szCs w:val="24"/>
        </w:rPr>
        <w:t xml:space="preserve"> models (E-F). Each patient contributed a single ARR at censoring. P-values for effects of sex, disease duration and age are shown (</w:t>
      </w:r>
      <w:proofErr w:type="spellStart"/>
      <w:r w:rsidRPr="00725E72">
        <w:rPr>
          <w:rFonts w:cs="Arial"/>
          <w:sz w:val="24"/>
          <w:szCs w:val="24"/>
        </w:rPr>
        <w:t>Tweedie</w:t>
      </w:r>
      <w:proofErr w:type="spellEnd"/>
      <w:r w:rsidRPr="00725E72">
        <w:rPr>
          <w:rFonts w:cs="Arial"/>
          <w:sz w:val="24"/>
          <w:szCs w:val="24"/>
        </w:rPr>
        <w:t xml:space="preserve"> regression). Cumulative hazard functions for relapses in female and male sub-populations, adjusted for age (G) or disease duration (H), treatment and pregnancy using Andersen-Gill models (G-H), with each patient contributing multiple time-to-relapse entries.</w:t>
      </w:r>
    </w:p>
    <w:p w:rsidR="000450E2" w:rsidRPr="00725E72" w:rsidRDefault="000450E2" w:rsidP="000E4AB0">
      <w:pPr>
        <w:spacing w:after="120" w:line="480" w:lineRule="auto"/>
        <w:rPr>
          <w:rFonts w:cs="Arial"/>
          <w:sz w:val="24"/>
          <w:szCs w:val="24"/>
        </w:rPr>
      </w:pPr>
      <w:r w:rsidRPr="00725E72">
        <w:rPr>
          <w:rFonts w:cs="Arial"/>
          <w:sz w:val="24"/>
          <w:szCs w:val="24"/>
        </w:rPr>
        <w:t xml:space="preserve">All results are stratified by disease duration (A, C, E, </w:t>
      </w:r>
      <w:proofErr w:type="gramStart"/>
      <w:r w:rsidRPr="00725E72">
        <w:rPr>
          <w:rFonts w:cs="Arial"/>
          <w:sz w:val="24"/>
          <w:szCs w:val="24"/>
        </w:rPr>
        <w:t>G</w:t>
      </w:r>
      <w:proofErr w:type="gramEnd"/>
      <w:r w:rsidRPr="00725E72">
        <w:rPr>
          <w:rFonts w:cs="Arial"/>
          <w:sz w:val="24"/>
          <w:szCs w:val="24"/>
        </w:rPr>
        <w:t>) and patient age (B, D, F, H). Error bars and dashed lines show 95% confidence intervals.</w:t>
      </w:r>
    </w:p>
    <w:p w:rsidR="000450E2" w:rsidRPr="00725E72" w:rsidRDefault="000450E2" w:rsidP="000E4AB0">
      <w:pPr>
        <w:spacing w:after="120" w:line="480" w:lineRule="auto"/>
        <w:rPr>
          <w:rFonts w:cs="Arial"/>
          <w:b/>
          <w:sz w:val="24"/>
          <w:szCs w:val="24"/>
        </w:rPr>
      </w:pPr>
    </w:p>
    <w:p w:rsidR="000450E2" w:rsidRPr="00725E72" w:rsidRDefault="000450E2" w:rsidP="000E4AB0">
      <w:pPr>
        <w:spacing w:after="120" w:line="480" w:lineRule="auto"/>
        <w:rPr>
          <w:rFonts w:cs="Arial"/>
          <w:b/>
          <w:sz w:val="24"/>
          <w:szCs w:val="24"/>
        </w:rPr>
      </w:pPr>
    </w:p>
    <w:p w:rsidR="000450E2" w:rsidRPr="00725E72" w:rsidRDefault="000450E2" w:rsidP="000E4AB0">
      <w:pPr>
        <w:spacing w:after="120" w:line="480" w:lineRule="auto"/>
        <w:rPr>
          <w:rFonts w:cs="Arial"/>
          <w:b/>
          <w:sz w:val="24"/>
          <w:szCs w:val="24"/>
        </w:rPr>
      </w:pPr>
    </w:p>
    <w:p w:rsidR="000E4AB0" w:rsidRPr="00725E72" w:rsidRDefault="000E4AB0">
      <w:pPr>
        <w:rPr>
          <w:rFonts w:cs="Arial"/>
          <w:b/>
          <w:sz w:val="24"/>
          <w:szCs w:val="24"/>
        </w:rPr>
      </w:pPr>
      <w:r w:rsidRPr="00725E72">
        <w:rPr>
          <w:rFonts w:cs="Arial"/>
          <w:b/>
          <w:sz w:val="24"/>
          <w:szCs w:val="24"/>
        </w:rPr>
        <w:br w:type="page"/>
      </w:r>
    </w:p>
    <w:p w:rsidR="000450E2" w:rsidRPr="00725E72" w:rsidRDefault="000450E2" w:rsidP="000E4AB0">
      <w:pPr>
        <w:spacing w:after="120" w:line="480" w:lineRule="auto"/>
        <w:rPr>
          <w:rFonts w:cs="Arial"/>
          <w:b/>
          <w:sz w:val="24"/>
          <w:szCs w:val="24"/>
        </w:rPr>
      </w:pPr>
      <w:r w:rsidRPr="00725E72">
        <w:rPr>
          <w:rFonts w:cs="Arial"/>
          <w:b/>
          <w:sz w:val="24"/>
          <w:szCs w:val="24"/>
        </w:rPr>
        <w:lastRenderedPageBreak/>
        <w:t>Figure 3</w:t>
      </w:r>
    </w:p>
    <w:p w:rsidR="000450E2" w:rsidRPr="00725E72" w:rsidRDefault="000450E2" w:rsidP="000E4AB0">
      <w:pPr>
        <w:spacing w:after="120" w:line="480" w:lineRule="auto"/>
        <w:rPr>
          <w:rFonts w:cs="Arial"/>
          <w:sz w:val="24"/>
          <w:szCs w:val="24"/>
        </w:rPr>
      </w:pPr>
      <w:r w:rsidRPr="00725E72">
        <w:rPr>
          <w:rFonts w:cs="Arial"/>
          <w:sz w:val="24"/>
          <w:szCs w:val="24"/>
        </w:rPr>
        <w:t>Female-to-male ratios stratified by disease duration and chronological age</w:t>
      </w:r>
    </w:p>
    <w:p w:rsidR="000450E2" w:rsidRPr="00725E72" w:rsidRDefault="000450E2" w:rsidP="000E4AB0">
      <w:pPr>
        <w:spacing w:after="120" w:line="480" w:lineRule="auto"/>
        <w:rPr>
          <w:rFonts w:cs="Arial"/>
          <w:sz w:val="24"/>
          <w:szCs w:val="24"/>
        </w:rPr>
      </w:pPr>
      <w:r w:rsidRPr="00725E72">
        <w:rPr>
          <w:rFonts w:cs="Arial"/>
          <w:noProof/>
          <w:sz w:val="24"/>
          <w:szCs w:val="24"/>
          <w:lang w:eastAsia="en-AU"/>
        </w:rPr>
        <w:drawing>
          <wp:inline distT="0" distB="0" distL="0" distR="0" wp14:anchorId="30419597" wp14:editId="5F148570">
            <wp:extent cx="5264726" cy="2256312"/>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3-small.tif"/>
                    <pic:cNvPicPr/>
                  </pic:nvPicPr>
                  <pic:blipFill>
                    <a:blip r:embed="rId7">
                      <a:extLst>
                        <a:ext uri="{28A0092B-C50C-407E-A947-70E740481C1C}">
                          <a14:useLocalDpi xmlns:a14="http://schemas.microsoft.com/office/drawing/2010/main" val="0"/>
                        </a:ext>
                      </a:extLst>
                    </a:blip>
                    <a:stretch>
                      <a:fillRect/>
                    </a:stretch>
                  </pic:blipFill>
                  <pic:spPr>
                    <a:xfrm>
                      <a:off x="0" y="0"/>
                      <a:ext cx="5270502" cy="2258787"/>
                    </a:xfrm>
                    <a:prstGeom prst="rect">
                      <a:avLst/>
                    </a:prstGeom>
                  </pic:spPr>
                </pic:pic>
              </a:graphicData>
            </a:graphic>
          </wp:inline>
        </w:drawing>
      </w:r>
    </w:p>
    <w:p w:rsidR="000450E2" w:rsidRPr="00725E72" w:rsidRDefault="000450E2" w:rsidP="000E4AB0">
      <w:pPr>
        <w:spacing w:before="240" w:after="120" w:line="480" w:lineRule="auto"/>
        <w:rPr>
          <w:rFonts w:cs="Arial"/>
          <w:sz w:val="24"/>
          <w:szCs w:val="24"/>
        </w:rPr>
      </w:pPr>
      <w:r w:rsidRPr="00725E72">
        <w:rPr>
          <w:rFonts w:cs="Arial"/>
          <w:sz w:val="24"/>
          <w:szCs w:val="24"/>
        </w:rPr>
        <w:t>Unadjusted distributions of the female-to-male (F</w:t>
      </w:r>
      <w:proofErr w:type="gramStart"/>
      <w:r w:rsidRPr="00725E72">
        <w:rPr>
          <w:rFonts w:cs="Arial"/>
          <w:sz w:val="24"/>
          <w:szCs w:val="24"/>
        </w:rPr>
        <w:t>:M</w:t>
      </w:r>
      <w:proofErr w:type="gramEnd"/>
      <w:r w:rsidRPr="00725E72">
        <w:rPr>
          <w:rFonts w:cs="Arial"/>
          <w:sz w:val="24"/>
          <w:szCs w:val="24"/>
        </w:rPr>
        <w:t>) ratios by disease duration (A) and patient age (B) are shown for patients with relapse-onset MS (blue marks) stratified by annual relapse number and patients with primary progressive MS (yellow marks). Each point represents a F</w:t>
      </w:r>
      <w:proofErr w:type="gramStart"/>
      <w:r w:rsidRPr="00725E72">
        <w:rPr>
          <w:rFonts w:cs="Arial"/>
          <w:sz w:val="24"/>
          <w:szCs w:val="24"/>
        </w:rPr>
        <w:t>:M</w:t>
      </w:r>
      <w:proofErr w:type="gramEnd"/>
      <w:r w:rsidRPr="00725E72">
        <w:rPr>
          <w:rFonts w:cs="Arial"/>
          <w:sz w:val="24"/>
          <w:szCs w:val="24"/>
        </w:rPr>
        <w:t xml:space="preserve"> ratio among the patients with corresponding number of relapses in a completed observational year. Numbers of patients per timepoint are indicated. Patients were allowed to contribute entries at multiple years. Estimated mean is shown as distance-weighted least squares surface (relapse-onset MS) and red least squares line (primary progressive MS).The mean estimation does not extend beyond 2 relapses in patients with more than 20 years of MS duration or 50 years of age, as the amount of the corresponding data was insufficient.</w:t>
      </w:r>
    </w:p>
    <w:p w:rsidR="000450E2" w:rsidRPr="00725E72" w:rsidRDefault="000450E2" w:rsidP="000E4AB0">
      <w:pPr>
        <w:spacing w:after="120" w:line="480" w:lineRule="auto"/>
        <w:rPr>
          <w:rFonts w:cs="Arial"/>
          <w:b/>
          <w:sz w:val="24"/>
          <w:szCs w:val="24"/>
        </w:rPr>
      </w:pPr>
    </w:p>
    <w:p w:rsidR="000450E2" w:rsidRPr="00725E72" w:rsidRDefault="000450E2" w:rsidP="000E4AB0">
      <w:pPr>
        <w:spacing w:line="480" w:lineRule="auto"/>
        <w:rPr>
          <w:rFonts w:cs="Arial"/>
          <w:b/>
          <w:sz w:val="24"/>
          <w:szCs w:val="24"/>
        </w:rPr>
      </w:pPr>
      <w:r w:rsidRPr="00725E72">
        <w:rPr>
          <w:rFonts w:cs="Arial"/>
          <w:b/>
          <w:sz w:val="24"/>
          <w:szCs w:val="24"/>
        </w:rPr>
        <w:br w:type="page"/>
      </w:r>
    </w:p>
    <w:p w:rsidR="000450E2" w:rsidRPr="00725E72" w:rsidRDefault="000450E2" w:rsidP="000E4AB0">
      <w:pPr>
        <w:keepNext/>
        <w:spacing w:after="120" w:line="480" w:lineRule="auto"/>
        <w:rPr>
          <w:rFonts w:cs="Arial"/>
          <w:b/>
          <w:sz w:val="24"/>
          <w:szCs w:val="24"/>
        </w:rPr>
      </w:pPr>
      <w:r w:rsidRPr="00725E72">
        <w:rPr>
          <w:rFonts w:cs="Arial"/>
          <w:b/>
          <w:sz w:val="24"/>
          <w:szCs w:val="24"/>
        </w:rPr>
        <w:lastRenderedPageBreak/>
        <w:t>Figure 4</w:t>
      </w:r>
    </w:p>
    <w:p w:rsidR="000450E2" w:rsidRPr="00725E72" w:rsidRDefault="000450E2" w:rsidP="000E4AB0">
      <w:pPr>
        <w:spacing w:after="120" w:line="480" w:lineRule="auto"/>
        <w:rPr>
          <w:rFonts w:cs="Arial"/>
          <w:sz w:val="24"/>
          <w:szCs w:val="24"/>
        </w:rPr>
      </w:pPr>
      <w:r w:rsidRPr="00725E72">
        <w:rPr>
          <w:rFonts w:cs="Arial"/>
          <w:sz w:val="24"/>
          <w:szCs w:val="24"/>
        </w:rPr>
        <w:t>Female-to-male ratios in relapse- vs. progressive-onset MS</w:t>
      </w:r>
    </w:p>
    <w:p w:rsidR="000450E2" w:rsidRPr="00725E72" w:rsidRDefault="000450E2" w:rsidP="000E4AB0">
      <w:pPr>
        <w:spacing w:after="120" w:line="480" w:lineRule="auto"/>
        <w:rPr>
          <w:rFonts w:cs="Arial"/>
          <w:sz w:val="24"/>
          <w:szCs w:val="24"/>
        </w:rPr>
      </w:pPr>
      <w:r w:rsidRPr="00725E72">
        <w:rPr>
          <w:rFonts w:cs="Arial"/>
          <w:noProof/>
          <w:sz w:val="24"/>
          <w:szCs w:val="24"/>
          <w:lang w:eastAsia="en-AU"/>
        </w:rPr>
        <w:drawing>
          <wp:inline distT="0" distB="0" distL="0" distR="0" wp14:anchorId="315013BF" wp14:editId="68125C1A">
            <wp:extent cx="1941830" cy="2362200"/>
            <wp:effectExtent l="0" t="0" r="1270" b="0"/>
            <wp:docPr id="8" name="Picture 8" descr="D:\Oddysea\Veda - publikacyje\Paper 25 - Kalo - Sex and relapses\Fig4-small.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Oddysea\Veda - publikacyje\Paper 25 - Kalo - Sex and relapses\Fig4-small.t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941830" cy="2362200"/>
                    </a:xfrm>
                    <a:prstGeom prst="rect">
                      <a:avLst/>
                    </a:prstGeom>
                    <a:noFill/>
                    <a:ln>
                      <a:noFill/>
                    </a:ln>
                  </pic:spPr>
                </pic:pic>
              </a:graphicData>
            </a:graphic>
          </wp:inline>
        </w:drawing>
      </w:r>
    </w:p>
    <w:p w:rsidR="000450E2" w:rsidRPr="00725E72" w:rsidRDefault="000450E2" w:rsidP="000E4AB0">
      <w:pPr>
        <w:spacing w:after="120" w:line="480" w:lineRule="auto"/>
        <w:rPr>
          <w:rFonts w:cs="Arial"/>
          <w:sz w:val="24"/>
          <w:szCs w:val="24"/>
        </w:rPr>
      </w:pPr>
      <w:r w:rsidRPr="00725E72">
        <w:rPr>
          <w:rFonts w:cs="Arial"/>
          <w:sz w:val="24"/>
          <w:szCs w:val="24"/>
        </w:rPr>
        <w:t>Female-to-male ratios (F</w:t>
      </w:r>
      <w:proofErr w:type="gramStart"/>
      <w:r w:rsidRPr="00725E72">
        <w:rPr>
          <w:rFonts w:cs="Arial"/>
          <w:sz w:val="24"/>
          <w:szCs w:val="24"/>
        </w:rPr>
        <w:t>:M</w:t>
      </w:r>
      <w:proofErr w:type="gramEnd"/>
      <w:r w:rsidRPr="00725E72">
        <w:rPr>
          <w:rFonts w:cs="Arial"/>
          <w:sz w:val="24"/>
          <w:szCs w:val="24"/>
        </w:rPr>
        <w:t>) by total number of relapses recorded over a 10-year follow-up period. Patients with relapsing-remitting (n = 2969) and primary progressive MS course (n = 881) with 10-year follow-up data available are compared. Circle sizes indicate number of patients within each stratum.</w:t>
      </w:r>
    </w:p>
    <w:p w:rsidR="000450E2" w:rsidRPr="00725E72" w:rsidRDefault="000450E2" w:rsidP="000E4AB0">
      <w:pPr>
        <w:spacing w:line="480" w:lineRule="auto"/>
      </w:pPr>
    </w:p>
    <w:p w:rsidR="000450E2" w:rsidRPr="00725E72" w:rsidRDefault="000450E2" w:rsidP="000E4AB0">
      <w:pPr>
        <w:spacing w:after="120" w:line="480" w:lineRule="auto"/>
        <w:rPr>
          <w:rFonts w:cs="Arial"/>
          <w:b/>
          <w:sz w:val="24"/>
          <w:szCs w:val="24"/>
        </w:rPr>
      </w:pPr>
    </w:p>
    <w:p w:rsidR="000450E2" w:rsidRPr="00725E72" w:rsidRDefault="000450E2" w:rsidP="000E4AB0">
      <w:pPr>
        <w:spacing w:after="120" w:line="480" w:lineRule="auto"/>
        <w:rPr>
          <w:rFonts w:cs="Arial"/>
          <w:b/>
          <w:sz w:val="24"/>
          <w:szCs w:val="24"/>
        </w:rPr>
      </w:pPr>
    </w:p>
    <w:p w:rsidR="004007EA" w:rsidRPr="00725E72" w:rsidRDefault="004007EA" w:rsidP="000E4AB0">
      <w:pPr>
        <w:spacing w:line="480" w:lineRule="auto"/>
      </w:pPr>
    </w:p>
    <w:sectPr w:rsidR="004007EA" w:rsidRPr="00725E72" w:rsidSect="0043659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B50335D"/>
    <w:multiLevelType w:val="hybridMultilevel"/>
    <w:tmpl w:val="75468DC0"/>
    <w:lvl w:ilvl="0" w:tplc="8D545D7A">
      <w:numFmt w:val="bullet"/>
      <w:lvlText w:val="-"/>
      <w:lvlJc w:val="left"/>
      <w:pPr>
        <w:ind w:left="780" w:hanging="360"/>
      </w:pPr>
      <w:rPr>
        <w:rFonts w:ascii="Calibri" w:eastAsiaTheme="minorHAnsi" w:hAnsi="Calibri" w:cstheme="minorBidi" w:hint="default"/>
      </w:rPr>
    </w:lvl>
    <w:lvl w:ilvl="1" w:tplc="0C090003" w:tentative="1">
      <w:start w:val="1"/>
      <w:numFmt w:val="bullet"/>
      <w:lvlText w:val="o"/>
      <w:lvlJc w:val="left"/>
      <w:pPr>
        <w:ind w:left="1500" w:hanging="360"/>
      </w:pPr>
      <w:rPr>
        <w:rFonts w:ascii="Courier New" w:hAnsi="Courier New" w:cs="Courier New" w:hint="default"/>
      </w:rPr>
    </w:lvl>
    <w:lvl w:ilvl="2" w:tplc="0C090005" w:tentative="1">
      <w:start w:val="1"/>
      <w:numFmt w:val="bullet"/>
      <w:lvlText w:val=""/>
      <w:lvlJc w:val="left"/>
      <w:pPr>
        <w:ind w:left="2220" w:hanging="360"/>
      </w:pPr>
      <w:rPr>
        <w:rFonts w:ascii="Wingdings" w:hAnsi="Wingdings" w:hint="default"/>
      </w:rPr>
    </w:lvl>
    <w:lvl w:ilvl="3" w:tplc="0C090001" w:tentative="1">
      <w:start w:val="1"/>
      <w:numFmt w:val="bullet"/>
      <w:lvlText w:val=""/>
      <w:lvlJc w:val="left"/>
      <w:pPr>
        <w:ind w:left="2940" w:hanging="360"/>
      </w:pPr>
      <w:rPr>
        <w:rFonts w:ascii="Symbol" w:hAnsi="Symbol" w:hint="default"/>
      </w:rPr>
    </w:lvl>
    <w:lvl w:ilvl="4" w:tplc="0C090003" w:tentative="1">
      <w:start w:val="1"/>
      <w:numFmt w:val="bullet"/>
      <w:lvlText w:val="o"/>
      <w:lvlJc w:val="left"/>
      <w:pPr>
        <w:ind w:left="3660" w:hanging="360"/>
      </w:pPr>
      <w:rPr>
        <w:rFonts w:ascii="Courier New" w:hAnsi="Courier New" w:cs="Courier New" w:hint="default"/>
      </w:rPr>
    </w:lvl>
    <w:lvl w:ilvl="5" w:tplc="0C090005" w:tentative="1">
      <w:start w:val="1"/>
      <w:numFmt w:val="bullet"/>
      <w:lvlText w:val=""/>
      <w:lvlJc w:val="left"/>
      <w:pPr>
        <w:ind w:left="4380" w:hanging="360"/>
      </w:pPr>
      <w:rPr>
        <w:rFonts w:ascii="Wingdings" w:hAnsi="Wingdings" w:hint="default"/>
      </w:rPr>
    </w:lvl>
    <w:lvl w:ilvl="6" w:tplc="0C090001" w:tentative="1">
      <w:start w:val="1"/>
      <w:numFmt w:val="bullet"/>
      <w:lvlText w:val=""/>
      <w:lvlJc w:val="left"/>
      <w:pPr>
        <w:ind w:left="5100" w:hanging="360"/>
      </w:pPr>
      <w:rPr>
        <w:rFonts w:ascii="Symbol" w:hAnsi="Symbol" w:hint="default"/>
      </w:rPr>
    </w:lvl>
    <w:lvl w:ilvl="7" w:tplc="0C090003" w:tentative="1">
      <w:start w:val="1"/>
      <w:numFmt w:val="bullet"/>
      <w:lvlText w:val="o"/>
      <w:lvlJc w:val="left"/>
      <w:pPr>
        <w:ind w:left="5820" w:hanging="360"/>
      </w:pPr>
      <w:rPr>
        <w:rFonts w:ascii="Courier New" w:hAnsi="Courier New" w:cs="Courier New" w:hint="default"/>
      </w:rPr>
    </w:lvl>
    <w:lvl w:ilvl="8" w:tplc="0C090005" w:tentative="1">
      <w:start w:val="1"/>
      <w:numFmt w:val="bullet"/>
      <w:lvlText w:val=""/>
      <w:lvlJc w:val="left"/>
      <w:pPr>
        <w:ind w:left="6540" w:hanging="360"/>
      </w:pPr>
      <w:rPr>
        <w:rFonts w:ascii="Wingdings" w:hAnsi="Wingdings" w:hint="default"/>
      </w:rPr>
    </w:lvl>
  </w:abstractNum>
  <w:abstractNum w:abstractNumId="1">
    <w:nsid w:val="7D2370CC"/>
    <w:multiLevelType w:val="hybridMultilevel"/>
    <w:tmpl w:val="BD74A026"/>
    <w:lvl w:ilvl="0" w:tplc="4E940914">
      <w:numFmt w:val="bullet"/>
      <w:lvlText w:val="-"/>
      <w:lvlJc w:val="left"/>
      <w:pPr>
        <w:ind w:left="780" w:hanging="360"/>
      </w:pPr>
      <w:rPr>
        <w:rFonts w:ascii="Calibri" w:eastAsiaTheme="minorHAnsi" w:hAnsi="Calibri" w:cstheme="minorBidi" w:hint="default"/>
      </w:rPr>
    </w:lvl>
    <w:lvl w:ilvl="1" w:tplc="0C090003" w:tentative="1">
      <w:start w:val="1"/>
      <w:numFmt w:val="bullet"/>
      <w:lvlText w:val="o"/>
      <w:lvlJc w:val="left"/>
      <w:pPr>
        <w:ind w:left="1500" w:hanging="360"/>
      </w:pPr>
      <w:rPr>
        <w:rFonts w:ascii="Courier New" w:hAnsi="Courier New" w:cs="Courier New" w:hint="default"/>
      </w:rPr>
    </w:lvl>
    <w:lvl w:ilvl="2" w:tplc="0C090005" w:tentative="1">
      <w:start w:val="1"/>
      <w:numFmt w:val="bullet"/>
      <w:lvlText w:val=""/>
      <w:lvlJc w:val="left"/>
      <w:pPr>
        <w:ind w:left="2220" w:hanging="360"/>
      </w:pPr>
      <w:rPr>
        <w:rFonts w:ascii="Wingdings" w:hAnsi="Wingdings" w:hint="default"/>
      </w:rPr>
    </w:lvl>
    <w:lvl w:ilvl="3" w:tplc="0C090001" w:tentative="1">
      <w:start w:val="1"/>
      <w:numFmt w:val="bullet"/>
      <w:lvlText w:val=""/>
      <w:lvlJc w:val="left"/>
      <w:pPr>
        <w:ind w:left="2940" w:hanging="360"/>
      </w:pPr>
      <w:rPr>
        <w:rFonts w:ascii="Symbol" w:hAnsi="Symbol" w:hint="default"/>
      </w:rPr>
    </w:lvl>
    <w:lvl w:ilvl="4" w:tplc="0C090003" w:tentative="1">
      <w:start w:val="1"/>
      <w:numFmt w:val="bullet"/>
      <w:lvlText w:val="o"/>
      <w:lvlJc w:val="left"/>
      <w:pPr>
        <w:ind w:left="3660" w:hanging="360"/>
      </w:pPr>
      <w:rPr>
        <w:rFonts w:ascii="Courier New" w:hAnsi="Courier New" w:cs="Courier New" w:hint="default"/>
      </w:rPr>
    </w:lvl>
    <w:lvl w:ilvl="5" w:tplc="0C090005" w:tentative="1">
      <w:start w:val="1"/>
      <w:numFmt w:val="bullet"/>
      <w:lvlText w:val=""/>
      <w:lvlJc w:val="left"/>
      <w:pPr>
        <w:ind w:left="4380" w:hanging="360"/>
      </w:pPr>
      <w:rPr>
        <w:rFonts w:ascii="Wingdings" w:hAnsi="Wingdings" w:hint="default"/>
      </w:rPr>
    </w:lvl>
    <w:lvl w:ilvl="6" w:tplc="0C090001" w:tentative="1">
      <w:start w:val="1"/>
      <w:numFmt w:val="bullet"/>
      <w:lvlText w:val=""/>
      <w:lvlJc w:val="left"/>
      <w:pPr>
        <w:ind w:left="5100" w:hanging="360"/>
      </w:pPr>
      <w:rPr>
        <w:rFonts w:ascii="Symbol" w:hAnsi="Symbol" w:hint="default"/>
      </w:rPr>
    </w:lvl>
    <w:lvl w:ilvl="7" w:tplc="0C090003" w:tentative="1">
      <w:start w:val="1"/>
      <w:numFmt w:val="bullet"/>
      <w:lvlText w:val="o"/>
      <w:lvlJc w:val="left"/>
      <w:pPr>
        <w:ind w:left="5820" w:hanging="360"/>
      </w:pPr>
      <w:rPr>
        <w:rFonts w:ascii="Courier New" w:hAnsi="Courier New" w:cs="Courier New" w:hint="default"/>
      </w:rPr>
    </w:lvl>
    <w:lvl w:ilvl="8" w:tplc="0C090005" w:tentative="1">
      <w:start w:val="1"/>
      <w:numFmt w:val="bullet"/>
      <w:lvlText w:val=""/>
      <w:lvlJc w:val="left"/>
      <w:pPr>
        <w:ind w:left="654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1&lt;/Suspended&gt;&lt;/ENInstantFormat&gt;"/>
  </w:docVars>
  <w:rsids>
    <w:rsidRoot w:val="000450E2"/>
    <w:rsid w:val="000450E2"/>
    <w:rsid w:val="000737D6"/>
    <w:rsid w:val="000C026B"/>
    <w:rsid w:val="000E4AB0"/>
    <w:rsid w:val="002153AA"/>
    <w:rsid w:val="00353145"/>
    <w:rsid w:val="00376BCC"/>
    <w:rsid w:val="004007EA"/>
    <w:rsid w:val="00440D8C"/>
    <w:rsid w:val="00490069"/>
    <w:rsid w:val="00595B65"/>
    <w:rsid w:val="005F0093"/>
    <w:rsid w:val="006034B4"/>
    <w:rsid w:val="00615D73"/>
    <w:rsid w:val="00692334"/>
    <w:rsid w:val="00725E72"/>
    <w:rsid w:val="00913113"/>
    <w:rsid w:val="00AB7927"/>
    <w:rsid w:val="00C15502"/>
    <w:rsid w:val="00CC0D70"/>
    <w:rsid w:val="00D46B75"/>
    <w:rsid w:val="00DC1804"/>
    <w:rsid w:val="00FF1EF2"/>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FC9B679-53B6-403D-A8FE-4D57A6DB9D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450E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0450E2"/>
    <w:rPr>
      <w:color w:val="0000FF" w:themeColor="hyperlink"/>
      <w:u w:val="single"/>
    </w:rPr>
  </w:style>
  <w:style w:type="paragraph" w:styleId="ListParagraph">
    <w:name w:val="List Paragraph"/>
    <w:basedOn w:val="Normal"/>
    <w:uiPriority w:val="34"/>
    <w:qFormat/>
    <w:rsid w:val="000450E2"/>
    <w:pPr>
      <w:ind w:left="720"/>
      <w:contextualSpacing/>
    </w:pPr>
  </w:style>
  <w:style w:type="character" w:styleId="CommentReference">
    <w:name w:val="annotation reference"/>
    <w:basedOn w:val="DefaultParagraphFont"/>
    <w:uiPriority w:val="99"/>
    <w:semiHidden/>
    <w:unhideWhenUsed/>
    <w:rsid w:val="000450E2"/>
    <w:rPr>
      <w:sz w:val="16"/>
      <w:szCs w:val="16"/>
    </w:rPr>
  </w:style>
  <w:style w:type="paragraph" w:styleId="CommentText">
    <w:name w:val="annotation text"/>
    <w:basedOn w:val="Normal"/>
    <w:link w:val="CommentTextChar"/>
    <w:uiPriority w:val="99"/>
    <w:unhideWhenUsed/>
    <w:rsid w:val="000450E2"/>
    <w:pPr>
      <w:spacing w:line="240" w:lineRule="auto"/>
    </w:pPr>
    <w:rPr>
      <w:sz w:val="20"/>
      <w:szCs w:val="20"/>
    </w:rPr>
  </w:style>
  <w:style w:type="character" w:customStyle="1" w:styleId="CommentTextChar">
    <w:name w:val="Comment Text Char"/>
    <w:basedOn w:val="DefaultParagraphFont"/>
    <w:link w:val="CommentText"/>
    <w:uiPriority w:val="99"/>
    <w:rsid w:val="000450E2"/>
    <w:rPr>
      <w:sz w:val="20"/>
      <w:szCs w:val="20"/>
    </w:rPr>
  </w:style>
  <w:style w:type="paragraph" w:styleId="CommentSubject">
    <w:name w:val="annotation subject"/>
    <w:basedOn w:val="CommentText"/>
    <w:next w:val="CommentText"/>
    <w:link w:val="CommentSubjectChar"/>
    <w:uiPriority w:val="99"/>
    <w:semiHidden/>
    <w:unhideWhenUsed/>
    <w:rsid w:val="000450E2"/>
    <w:rPr>
      <w:b/>
      <w:bCs/>
    </w:rPr>
  </w:style>
  <w:style w:type="character" w:customStyle="1" w:styleId="CommentSubjectChar">
    <w:name w:val="Comment Subject Char"/>
    <w:basedOn w:val="CommentTextChar"/>
    <w:link w:val="CommentSubject"/>
    <w:uiPriority w:val="99"/>
    <w:semiHidden/>
    <w:rsid w:val="000450E2"/>
    <w:rPr>
      <w:b/>
      <w:bCs/>
      <w:sz w:val="20"/>
      <w:szCs w:val="20"/>
    </w:rPr>
  </w:style>
  <w:style w:type="paragraph" w:styleId="BalloonText">
    <w:name w:val="Balloon Text"/>
    <w:basedOn w:val="Normal"/>
    <w:link w:val="BalloonTextChar"/>
    <w:uiPriority w:val="99"/>
    <w:semiHidden/>
    <w:unhideWhenUsed/>
    <w:rsid w:val="000450E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450E2"/>
    <w:rPr>
      <w:rFonts w:ascii="Tahoma" w:hAnsi="Tahoma" w:cs="Tahoma"/>
      <w:sz w:val="16"/>
      <w:szCs w:val="16"/>
    </w:rPr>
  </w:style>
  <w:style w:type="paragraph" w:styleId="Header">
    <w:name w:val="header"/>
    <w:basedOn w:val="Normal"/>
    <w:link w:val="HeaderChar"/>
    <w:uiPriority w:val="99"/>
    <w:unhideWhenUsed/>
    <w:rsid w:val="000450E2"/>
    <w:pPr>
      <w:tabs>
        <w:tab w:val="center" w:pos="4513"/>
        <w:tab w:val="right" w:pos="9026"/>
      </w:tabs>
      <w:spacing w:after="0" w:line="240" w:lineRule="auto"/>
    </w:pPr>
  </w:style>
  <w:style w:type="character" w:customStyle="1" w:styleId="HeaderChar">
    <w:name w:val="Header Char"/>
    <w:basedOn w:val="DefaultParagraphFont"/>
    <w:link w:val="Header"/>
    <w:uiPriority w:val="99"/>
    <w:rsid w:val="000450E2"/>
  </w:style>
  <w:style w:type="paragraph" w:styleId="Footer">
    <w:name w:val="footer"/>
    <w:basedOn w:val="Normal"/>
    <w:link w:val="FooterChar"/>
    <w:uiPriority w:val="99"/>
    <w:unhideWhenUsed/>
    <w:rsid w:val="000450E2"/>
    <w:pPr>
      <w:tabs>
        <w:tab w:val="center" w:pos="4513"/>
        <w:tab w:val="right" w:pos="9026"/>
      </w:tabs>
      <w:spacing w:after="0" w:line="240" w:lineRule="auto"/>
    </w:pPr>
  </w:style>
  <w:style w:type="character" w:customStyle="1" w:styleId="FooterChar">
    <w:name w:val="Footer Char"/>
    <w:basedOn w:val="DefaultParagraphFont"/>
    <w:link w:val="Footer"/>
    <w:uiPriority w:val="99"/>
    <w:rsid w:val="000450E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tiff"/><Relationship Id="rId3" Type="http://schemas.openxmlformats.org/officeDocument/2006/relationships/settings" Target="settings.xml"/><Relationship Id="rId7" Type="http://schemas.openxmlformats.org/officeDocument/2006/relationships/image" Target="media/image3.ti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tiff"/><Relationship Id="rId5" Type="http://schemas.openxmlformats.org/officeDocument/2006/relationships/image" Target="media/image1.tiff"/><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190</TotalTime>
  <Pages>30</Pages>
  <Words>6318</Words>
  <Characters>36019</Characters>
  <Application>Microsoft Office Word</Application>
  <DocSecurity>0</DocSecurity>
  <Lines>300</Lines>
  <Paragraphs>84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42253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Tomas Kalincik</dc:creator>
  <cp:lastModifiedBy>TK\Ludo</cp:lastModifiedBy>
  <cp:revision>13</cp:revision>
  <dcterms:created xsi:type="dcterms:W3CDTF">2013-07-23T04:52:00Z</dcterms:created>
  <dcterms:modified xsi:type="dcterms:W3CDTF">2015-02-02T03:25:00Z</dcterms:modified>
</cp:coreProperties>
</file>