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C69E8" w14:textId="77777777" w:rsidR="00160D79" w:rsidRDefault="00224D70" w:rsidP="00067F53">
      <w:pPr>
        <w:spacing w:line="480" w:lineRule="auto"/>
        <w:rPr>
          <w:rFonts w:ascii="Times New Roman" w:hAnsi="Times New Roman" w:cs="Times New Roman"/>
          <w:b/>
          <w:sz w:val="24"/>
        </w:rPr>
      </w:pPr>
      <w:r>
        <w:rPr>
          <w:rFonts w:ascii="Times New Roman" w:hAnsi="Times New Roman" w:cs="Times New Roman"/>
          <w:b/>
          <w:sz w:val="24"/>
        </w:rPr>
        <w:t>Exile: From Geographical Displacement to Metaphorical Condition</w:t>
      </w:r>
    </w:p>
    <w:p w14:paraId="14D5B88D" w14:textId="2387D010" w:rsidR="00C947BB" w:rsidRDefault="00C947BB" w:rsidP="00067F53">
      <w:pPr>
        <w:spacing w:line="480" w:lineRule="auto"/>
        <w:rPr>
          <w:rFonts w:ascii="Times New Roman" w:hAnsi="Times New Roman" w:cs="Times New Roman"/>
          <w:b/>
          <w:sz w:val="24"/>
        </w:rPr>
      </w:pPr>
      <w:r>
        <w:rPr>
          <w:rFonts w:ascii="Times New Roman" w:hAnsi="Times New Roman" w:cs="Times New Roman"/>
          <w:b/>
          <w:sz w:val="24"/>
        </w:rPr>
        <w:t>Antonia Wimbush</w:t>
      </w:r>
    </w:p>
    <w:p w14:paraId="6EBA0A83" w14:textId="2A76B43F" w:rsidR="00160D79" w:rsidRDefault="00224D70">
      <w:pPr>
        <w:spacing w:line="480" w:lineRule="auto"/>
        <w:jc w:val="both"/>
        <w:rPr>
          <w:rFonts w:ascii="Times New Roman" w:hAnsi="Times New Roman" w:cs="Times New Roman"/>
          <w:sz w:val="24"/>
        </w:rPr>
      </w:pPr>
      <w:r w:rsidRPr="006C3581">
        <w:rPr>
          <w:rFonts w:ascii="Times New Roman" w:hAnsi="Times New Roman" w:cs="Times New Roman"/>
          <w:sz w:val="24"/>
        </w:rPr>
        <w:t>In 2021, the Nobel Prize for Literature was awarded to novelist Abdulrazak Gurnah for his “uncompromising and compassionate penetration of the effects of colonialism and the fate of the refugee in the gulf between cultures and continents”, according to the official statement of the Nobel Prize organisation. Gurnah’s achievement was striking for two key reasons</w:t>
      </w:r>
      <w:r w:rsidR="00502A50">
        <w:rPr>
          <w:rFonts w:ascii="Times New Roman" w:hAnsi="Times New Roman" w:cs="Times New Roman"/>
          <w:sz w:val="24"/>
        </w:rPr>
        <w:t>:</w:t>
      </w:r>
      <w:r w:rsidRPr="006C3581">
        <w:rPr>
          <w:rFonts w:ascii="Times New Roman" w:hAnsi="Times New Roman" w:cs="Times New Roman"/>
          <w:sz w:val="24"/>
        </w:rPr>
        <w:t xml:space="preserve"> </w:t>
      </w:r>
      <w:r w:rsidR="00BC7346">
        <w:rPr>
          <w:rFonts w:ascii="Times New Roman" w:hAnsi="Times New Roman" w:cs="Times New Roman"/>
          <w:sz w:val="24"/>
        </w:rPr>
        <w:t>f</w:t>
      </w:r>
      <w:r w:rsidRPr="006C3581">
        <w:rPr>
          <w:rFonts w:ascii="Times New Roman" w:hAnsi="Times New Roman" w:cs="Times New Roman"/>
          <w:sz w:val="24"/>
        </w:rPr>
        <w:t xml:space="preserve">irstly, he is only the fourth author of African origin – he was born in Zanzibar in 1948 and fled to the UK in the 1960s to escape persecution as an Arab citizen – to be awarded the world’s most prestigious literary prize. Secondly, the fact that he won the award precisely for his commitment to narrating stories of exile and displacement demonstrates the importance of migration literature on the global literary scene. Through his writing, Gurnah reflects on the loneliness and alienation provoked by exile. This can occur across national borders – as in </w:t>
      </w:r>
      <w:r w:rsidRPr="006C3581">
        <w:rPr>
          <w:rFonts w:ascii="Times New Roman" w:hAnsi="Times New Roman" w:cs="Times New Roman"/>
          <w:i/>
          <w:sz w:val="24"/>
        </w:rPr>
        <w:t xml:space="preserve">By the Sea </w:t>
      </w:r>
      <w:r w:rsidRPr="006C3581">
        <w:rPr>
          <w:rFonts w:ascii="Times New Roman" w:hAnsi="Times New Roman" w:cs="Times New Roman"/>
          <w:sz w:val="24"/>
        </w:rPr>
        <w:t>(2001)</w:t>
      </w:r>
      <w:r w:rsidRPr="006C3581">
        <w:rPr>
          <w:rFonts w:ascii="Times New Roman" w:hAnsi="Times New Roman" w:cs="Times New Roman"/>
          <w:i/>
          <w:sz w:val="24"/>
        </w:rPr>
        <w:t>,</w:t>
      </w:r>
      <w:r w:rsidRPr="006C3581">
        <w:rPr>
          <w:rFonts w:ascii="Times New Roman" w:hAnsi="Times New Roman" w:cs="Times New Roman"/>
          <w:sz w:val="24"/>
        </w:rPr>
        <w:t xml:space="preserve"> in which the protagonist Saleh Omar arrives in London from Zanzibar as an asylum seeker – or within one’s own country, as Yusuf experiences in Tanzania in </w:t>
      </w:r>
      <w:r w:rsidRPr="006C3581">
        <w:rPr>
          <w:rFonts w:ascii="Times New Roman" w:hAnsi="Times New Roman" w:cs="Times New Roman"/>
          <w:i/>
          <w:sz w:val="24"/>
        </w:rPr>
        <w:t>Paradise</w:t>
      </w:r>
      <w:r w:rsidRPr="006C3581">
        <w:rPr>
          <w:rFonts w:ascii="Times New Roman" w:hAnsi="Times New Roman" w:cs="Times New Roman"/>
          <w:sz w:val="24"/>
        </w:rPr>
        <w:t xml:space="preserve"> (1994). Gurnah is also conscious, however, of the necessity of exile and displacement for survival.</w:t>
      </w:r>
    </w:p>
    <w:p w14:paraId="0BD00666" w14:textId="01714CAB"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Gurnah’s writing is but one example of a recent body of work in which protagonists undergo a form of exile, leading them to question where they have come from, where they belong, and where they consider to be their home. This chapter thus interrogates the relationship between exile and migration literature, exploring how the concept of exile has been approached in migration literature and how literary texts have reframed theoretical ideas about exile proposed by theorists as diverse </w:t>
      </w:r>
      <w:r w:rsidRPr="006C3581">
        <w:rPr>
          <w:rFonts w:ascii="Times New Roman" w:hAnsi="Times New Roman" w:cs="Times New Roman"/>
          <w:sz w:val="24"/>
        </w:rPr>
        <w:t>as Edward Said, Julia Kristeva, Eva Hoffman, and Jacques Derrida.</w:t>
      </w:r>
      <w:r>
        <w:rPr>
          <w:rFonts w:ascii="Times New Roman" w:hAnsi="Times New Roman" w:cs="Times New Roman"/>
          <w:sz w:val="24"/>
        </w:rPr>
        <w:t xml:space="preserve"> The concept of exile has been critiqued by scholars for its overuse and its employment as an umbrella term in which all forms of geographic displacement are conflated. Michael </w:t>
      </w:r>
      <w:r w:rsidRPr="006C3581">
        <w:rPr>
          <w:rFonts w:ascii="Times New Roman" w:hAnsi="Times New Roman" w:cs="Times New Roman"/>
          <w:sz w:val="24"/>
        </w:rPr>
        <w:t>Hanne</w:t>
      </w:r>
      <w:r>
        <w:rPr>
          <w:rFonts w:ascii="Times New Roman" w:hAnsi="Times New Roman" w:cs="Times New Roman"/>
          <w:sz w:val="24"/>
        </w:rPr>
        <w:t xml:space="preserve">, </w:t>
      </w:r>
      <w:r>
        <w:rPr>
          <w:rFonts w:ascii="Times New Roman" w:hAnsi="Times New Roman" w:cs="Times New Roman"/>
          <w:sz w:val="24"/>
        </w:rPr>
        <w:lastRenderedPageBreak/>
        <w:t>for instance, argues that “such diversity of human experience cannot readily be conveyed by a single term, such as ‘exiles’” because this presupposes that people are affected by migration in the same way (4). Scholars in migration studies have also taken the notion of exile to task for its romanticized and nostalgic outlook on displacement which lies in stark contrast to embodied experiences of forced migration (</w:t>
      </w:r>
      <w:r w:rsidRPr="00D30B1A">
        <w:rPr>
          <w:rFonts w:ascii="Times New Roman" w:hAnsi="Times New Roman" w:cs="Times New Roman"/>
          <w:sz w:val="24"/>
        </w:rPr>
        <w:t>Castles; Bloc</w:t>
      </w:r>
      <w:r w:rsidR="008F43C9" w:rsidRPr="00D30B1A">
        <w:rPr>
          <w:rFonts w:ascii="Times New Roman" w:hAnsi="Times New Roman" w:cs="Times New Roman"/>
          <w:sz w:val="24"/>
        </w:rPr>
        <w:t>h</w:t>
      </w:r>
      <w:r w:rsidRPr="00D30B1A">
        <w:rPr>
          <w:rFonts w:ascii="Times New Roman" w:hAnsi="Times New Roman" w:cs="Times New Roman"/>
          <w:sz w:val="24"/>
        </w:rPr>
        <w:t xml:space="preserve"> and Donà; Pearlman)</w:t>
      </w:r>
      <w:r w:rsidRPr="006C3581">
        <w:rPr>
          <w:rFonts w:ascii="Times New Roman" w:hAnsi="Times New Roman" w:cs="Times New Roman"/>
          <w:sz w:val="24"/>
        </w:rPr>
        <w:t>.</w:t>
      </w:r>
      <w:r>
        <w:rPr>
          <w:rFonts w:ascii="Times New Roman" w:hAnsi="Times New Roman" w:cs="Times New Roman"/>
          <w:sz w:val="24"/>
        </w:rPr>
        <w:t xml:space="preserve"> This </w:t>
      </w:r>
      <w:r w:rsidR="000A1DF4">
        <w:rPr>
          <w:rFonts w:ascii="Times New Roman" w:hAnsi="Times New Roman" w:cs="Times New Roman"/>
          <w:sz w:val="24"/>
        </w:rPr>
        <w:t xml:space="preserve">critical </w:t>
      </w:r>
      <w:r>
        <w:rPr>
          <w:rFonts w:ascii="Times New Roman" w:hAnsi="Times New Roman" w:cs="Times New Roman"/>
          <w:sz w:val="24"/>
        </w:rPr>
        <w:t xml:space="preserve">distancing from the term “exile” has </w:t>
      </w:r>
      <w:r w:rsidR="000A1DF4">
        <w:rPr>
          <w:rFonts w:ascii="Times New Roman" w:hAnsi="Times New Roman" w:cs="Times New Roman"/>
          <w:sz w:val="24"/>
        </w:rPr>
        <w:t>also become increasingly visible</w:t>
      </w:r>
      <w:r>
        <w:rPr>
          <w:rFonts w:ascii="Times New Roman" w:hAnsi="Times New Roman" w:cs="Times New Roman"/>
          <w:sz w:val="24"/>
        </w:rPr>
        <w:t xml:space="preserve"> in literary spheres. Carine </w:t>
      </w:r>
      <w:r w:rsidRPr="008F43C9">
        <w:rPr>
          <w:rFonts w:ascii="Times New Roman" w:hAnsi="Times New Roman" w:cs="Times New Roman"/>
          <w:sz w:val="24"/>
        </w:rPr>
        <w:t>Mardorossian</w:t>
      </w:r>
      <w:r>
        <w:rPr>
          <w:rFonts w:ascii="Times New Roman" w:hAnsi="Times New Roman" w:cs="Times New Roman"/>
          <w:sz w:val="24"/>
        </w:rPr>
        <w:t xml:space="preserve"> explains that at the turn of the twenty-first century there was a paradigmatic shift from exile writing to migrant literature as some postcolonial writers rejected “the status of exile for that of migrant” (15). Migrant literature privileges constant movement, flux, and the mixing of cultures over concerns about fixedness and rootedness, themes which were previously addressed by exile writing. More recent trends from the 2010s include the move towards migration literature, which breaks the superfluous connection between an author’s biography and the written text and focuses on textual aesthetics rather than the context in which the narrative is produced </w:t>
      </w:r>
      <w:r w:rsidRPr="008F43C9">
        <w:rPr>
          <w:rFonts w:ascii="Times New Roman" w:hAnsi="Times New Roman" w:cs="Times New Roman"/>
          <w:sz w:val="24"/>
        </w:rPr>
        <w:t>(Declercq 310),</w:t>
      </w:r>
      <w:r w:rsidRPr="008F43C9">
        <w:rPr>
          <w:rStyle w:val="EndnoteReference"/>
          <w:rFonts w:ascii="Times New Roman" w:hAnsi="Times New Roman" w:cs="Times New Roman"/>
          <w:sz w:val="24"/>
        </w:rPr>
        <w:endnoteReference w:id="1"/>
      </w:r>
      <w:r>
        <w:rPr>
          <w:rFonts w:ascii="Times New Roman" w:hAnsi="Times New Roman" w:cs="Times New Roman"/>
          <w:sz w:val="24"/>
        </w:rPr>
        <w:t xml:space="preserve"> and post-migrant literature, a term conceived in Germany by theatre director Şermin </w:t>
      </w:r>
      <w:r w:rsidRPr="000A66B7">
        <w:rPr>
          <w:rFonts w:ascii="Times New Roman" w:hAnsi="Times New Roman" w:cs="Times New Roman"/>
          <w:sz w:val="24"/>
        </w:rPr>
        <w:t>Langhoff</w:t>
      </w:r>
      <w:r>
        <w:rPr>
          <w:rFonts w:ascii="Times New Roman" w:hAnsi="Times New Roman" w:cs="Times New Roman"/>
          <w:sz w:val="24"/>
        </w:rPr>
        <w:t xml:space="preserve"> in 2011 to reflect the transnational and hybrid style of literature and theatre which recognises migration as the norm in contemporary society </w:t>
      </w:r>
      <w:r w:rsidRPr="008F43C9">
        <w:rPr>
          <w:rFonts w:ascii="Times New Roman" w:hAnsi="Times New Roman" w:cs="Times New Roman"/>
          <w:sz w:val="24"/>
        </w:rPr>
        <w:t>(Petersen and Schramm 5).</w:t>
      </w:r>
      <w:r>
        <w:rPr>
          <w:rFonts w:ascii="Times New Roman" w:hAnsi="Times New Roman" w:cs="Times New Roman"/>
          <w:sz w:val="24"/>
        </w:rPr>
        <w:t xml:space="preserve"> </w:t>
      </w:r>
    </w:p>
    <w:p w14:paraId="46922789" w14:textId="791BE9C8" w:rsidR="00160D79" w:rsidRDefault="00224D70">
      <w:pPr>
        <w:spacing w:line="480" w:lineRule="auto"/>
        <w:jc w:val="both"/>
        <w:rPr>
          <w:rFonts w:ascii="Times New Roman" w:hAnsi="Times New Roman" w:cs="Times New Roman"/>
          <w:sz w:val="24"/>
          <w:szCs w:val="24"/>
        </w:rPr>
      </w:pPr>
      <w:r>
        <w:rPr>
          <w:rFonts w:ascii="Times New Roman" w:hAnsi="Times New Roman" w:cs="Times New Roman"/>
          <w:sz w:val="24"/>
        </w:rPr>
        <w:t xml:space="preserve">Despite this move away from a literary focus on exile in certain contexts, I argue in this chapter that exile continues to be a relevant and productive lens through which to consider migration literature. In fact, contemporary authors writing within very different socio-political and cultural contexts are constantly pushing the boundaries of modernist theories of exile by thinkers such as Hannah </w:t>
      </w:r>
      <w:r w:rsidRPr="008F43C9">
        <w:rPr>
          <w:rFonts w:ascii="Times New Roman" w:hAnsi="Times New Roman" w:cs="Times New Roman"/>
          <w:sz w:val="24"/>
        </w:rPr>
        <w:t>Arendt and Theodor Adorno,</w:t>
      </w:r>
      <w:r>
        <w:rPr>
          <w:rFonts w:ascii="Times New Roman" w:hAnsi="Times New Roman" w:cs="Times New Roman"/>
          <w:sz w:val="24"/>
        </w:rPr>
        <w:t xml:space="preserve"> in which exile was primarily conceived in political terms, and early postcolonial ideas of scholars such as </w:t>
      </w:r>
      <w:r w:rsidRPr="008F43C9">
        <w:rPr>
          <w:rFonts w:ascii="Times New Roman" w:hAnsi="Times New Roman" w:cs="Times New Roman"/>
          <w:sz w:val="24"/>
        </w:rPr>
        <w:t>Homi Bhabha and</w:t>
      </w:r>
      <w:r>
        <w:rPr>
          <w:rFonts w:ascii="Times New Roman" w:hAnsi="Times New Roman" w:cs="Times New Roman"/>
          <w:sz w:val="24"/>
        </w:rPr>
        <w:t xml:space="preserve"> Edward </w:t>
      </w:r>
      <w:r w:rsidRPr="008F43C9">
        <w:rPr>
          <w:rFonts w:ascii="Times New Roman" w:hAnsi="Times New Roman" w:cs="Times New Roman"/>
          <w:sz w:val="24"/>
        </w:rPr>
        <w:t>Said, which</w:t>
      </w:r>
      <w:r>
        <w:rPr>
          <w:rFonts w:ascii="Times New Roman" w:hAnsi="Times New Roman" w:cs="Times New Roman"/>
          <w:sz w:val="24"/>
        </w:rPr>
        <w:t xml:space="preserve"> celebrated exile as a form of hybridity. I posit, then, that migration literature reconceptualizes </w:t>
      </w:r>
      <w:r>
        <w:rPr>
          <w:rFonts w:ascii="Times New Roman" w:hAnsi="Times New Roman" w:cs="Times New Roman"/>
          <w:sz w:val="24"/>
          <w:szCs w:val="24"/>
        </w:rPr>
        <w:t xml:space="preserve">theoretical ideas about geographical exile by conceiving of exile as a “leaping </w:t>
      </w:r>
      <w:r>
        <w:rPr>
          <w:rFonts w:ascii="Times New Roman" w:hAnsi="Times New Roman" w:cs="Times New Roman"/>
          <w:sz w:val="24"/>
          <w:szCs w:val="24"/>
        </w:rPr>
        <w:lastRenderedPageBreak/>
        <w:t>out”</w:t>
      </w:r>
      <w:r w:rsidR="00EB74CD">
        <w:rPr>
          <w:rFonts w:ascii="Times New Roman" w:hAnsi="Times New Roman" w:cs="Times New Roman"/>
          <w:sz w:val="24"/>
          <w:szCs w:val="24"/>
        </w:rPr>
        <w:t xml:space="preserve"> (</w:t>
      </w:r>
      <w:r w:rsidR="00852DE3">
        <w:rPr>
          <w:rFonts w:ascii="Times New Roman" w:hAnsi="Times New Roman" w:cs="Times New Roman"/>
          <w:sz w:val="24"/>
          <w:szCs w:val="24"/>
        </w:rPr>
        <w:t>Asempasah</w:t>
      </w:r>
      <w:r w:rsidR="00CC61EE">
        <w:rPr>
          <w:rFonts w:ascii="Times New Roman" w:hAnsi="Times New Roman" w:cs="Times New Roman"/>
          <w:sz w:val="24"/>
          <w:szCs w:val="24"/>
        </w:rPr>
        <w:t xml:space="preserve"> 279)</w:t>
      </w:r>
      <w:r>
        <w:rPr>
          <w:rFonts w:ascii="Times New Roman" w:hAnsi="Times New Roman" w:cs="Times New Roman"/>
          <w:sz w:val="24"/>
          <w:szCs w:val="24"/>
        </w:rPr>
        <w:t xml:space="preserve">, by foregrounding exile’s potential to provide emancipation particularly for women, and by thinking of exile as a form of imprisonment and confinement. As I demonstrate in the final part of this chapter, migration literature also places value on metaphorical forms of exile, in which individuals can feel exiled – that is, isolated and alienated – without ever leaving the homeland. Exile is thus a useful model </w:t>
      </w:r>
      <w:r w:rsidR="000A1DF4">
        <w:rPr>
          <w:rFonts w:ascii="Times New Roman" w:hAnsi="Times New Roman" w:cs="Times New Roman"/>
          <w:sz w:val="24"/>
          <w:szCs w:val="24"/>
        </w:rPr>
        <w:t>for</w:t>
      </w:r>
      <w:r>
        <w:rPr>
          <w:rFonts w:ascii="Times New Roman" w:hAnsi="Times New Roman" w:cs="Times New Roman"/>
          <w:sz w:val="24"/>
          <w:szCs w:val="24"/>
        </w:rPr>
        <w:t xml:space="preserve"> think</w:t>
      </w:r>
      <w:r w:rsidR="000A1DF4">
        <w:rPr>
          <w:rFonts w:ascii="Times New Roman" w:hAnsi="Times New Roman" w:cs="Times New Roman"/>
          <w:sz w:val="24"/>
          <w:szCs w:val="24"/>
        </w:rPr>
        <w:t>ing</w:t>
      </w:r>
      <w:r>
        <w:rPr>
          <w:rFonts w:ascii="Times New Roman" w:hAnsi="Times New Roman" w:cs="Times New Roman"/>
          <w:sz w:val="24"/>
          <w:szCs w:val="24"/>
        </w:rPr>
        <w:t xml:space="preserve"> through sentiments of non-belonging in gendered, sexual, and linguistic terms. </w:t>
      </w:r>
      <w:r w:rsidR="000A1DF4">
        <w:rPr>
          <w:rFonts w:ascii="Times New Roman" w:hAnsi="Times New Roman" w:cs="Times New Roman"/>
          <w:sz w:val="24"/>
          <w:szCs w:val="24"/>
        </w:rPr>
        <w:t>T</w:t>
      </w:r>
      <w:r>
        <w:rPr>
          <w:rFonts w:ascii="Times New Roman" w:hAnsi="Times New Roman" w:cs="Times New Roman"/>
          <w:sz w:val="24"/>
          <w:szCs w:val="24"/>
        </w:rPr>
        <w:t>he chapter considers a range of literary texts from very different cultural and geographical contexts</w:t>
      </w:r>
      <w:r w:rsidR="003A1896">
        <w:rPr>
          <w:rFonts w:ascii="Times New Roman" w:hAnsi="Times New Roman" w:cs="Times New Roman"/>
          <w:sz w:val="24"/>
          <w:szCs w:val="24"/>
        </w:rPr>
        <w:t>, including</w:t>
      </w:r>
      <w:r w:rsidR="00176283">
        <w:rPr>
          <w:rFonts w:ascii="Times New Roman" w:hAnsi="Times New Roman" w:cs="Times New Roman"/>
          <w:sz w:val="24"/>
          <w:szCs w:val="24"/>
        </w:rPr>
        <w:t xml:space="preserve"> Nigeria, Algeria, Italy, </w:t>
      </w:r>
      <w:r w:rsidR="007B04F5">
        <w:rPr>
          <w:rFonts w:ascii="Times New Roman" w:hAnsi="Times New Roman" w:cs="Times New Roman"/>
          <w:sz w:val="24"/>
          <w:szCs w:val="24"/>
        </w:rPr>
        <w:t>France, and Japan,</w:t>
      </w:r>
      <w:r>
        <w:rPr>
          <w:rFonts w:ascii="Times New Roman" w:hAnsi="Times New Roman" w:cs="Times New Roman"/>
          <w:sz w:val="24"/>
          <w:szCs w:val="24"/>
        </w:rPr>
        <w:t xml:space="preserve"> </w:t>
      </w:r>
      <w:r w:rsidR="003A1896">
        <w:rPr>
          <w:rFonts w:ascii="Times New Roman" w:hAnsi="Times New Roman" w:cs="Times New Roman"/>
          <w:sz w:val="24"/>
          <w:szCs w:val="24"/>
        </w:rPr>
        <w:t>to illustrate the multiple ways in which</w:t>
      </w:r>
      <w:r>
        <w:rPr>
          <w:rFonts w:ascii="Times New Roman" w:hAnsi="Times New Roman" w:cs="Times New Roman"/>
          <w:sz w:val="24"/>
          <w:szCs w:val="24"/>
        </w:rPr>
        <w:t xml:space="preserve"> the theme of exile </w:t>
      </w:r>
      <w:r w:rsidR="003A1896">
        <w:rPr>
          <w:rFonts w:ascii="Times New Roman" w:hAnsi="Times New Roman" w:cs="Times New Roman"/>
          <w:sz w:val="24"/>
          <w:szCs w:val="24"/>
        </w:rPr>
        <w:t xml:space="preserve">has been pushed </w:t>
      </w:r>
      <w:r>
        <w:rPr>
          <w:rFonts w:ascii="Times New Roman" w:hAnsi="Times New Roman" w:cs="Times New Roman"/>
          <w:sz w:val="24"/>
          <w:szCs w:val="24"/>
        </w:rPr>
        <w:t>in</w:t>
      </w:r>
      <w:r w:rsidR="003A1896">
        <w:rPr>
          <w:rFonts w:ascii="Times New Roman" w:hAnsi="Times New Roman" w:cs="Times New Roman"/>
          <w:sz w:val="24"/>
          <w:szCs w:val="24"/>
        </w:rPr>
        <w:t>to</w:t>
      </w:r>
      <w:r>
        <w:rPr>
          <w:rFonts w:ascii="Times New Roman" w:hAnsi="Times New Roman" w:cs="Times New Roman"/>
          <w:sz w:val="24"/>
          <w:szCs w:val="24"/>
        </w:rPr>
        <w:t xml:space="preserve"> new directions</w:t>
      </w:r>
      <w:r w:rsidR="003A1896">
        <w:rPr>
          <w:rFonts w:ascii="Times New Roman" w:hAnsi="Times New Roman" w:cs="Times New Roman"/>
          <w:sz w:val="24"/>
          <w:szCs w:val="24"/>
        </w:rPr>
        <w:t xml:space="preserve"> in recent years</w:t>
      </w:r>
      <w:r>
        <w:rPr>
          <w:rFonts w:ascii="Times New Roman" w:hAnsi="Times New Roman" w:cs="Times New Roman"/>
          <w:sz w:val="24"/>
          <w:szCs w:val="24"/>
        </w:rPr>
        <w:t>.</w:t>
      </w:r>
    </w:p>
    <w:p w14:paraId="70037A40" w14:textId="77777777" w:rsidR="00160D79" w:rsidRDefault="00160D79">
      <w:pPr>
        <w:spacing w:line="480" w:lineRule="auto"/>
        <w:jc w:val="both"/>
        <w:rPr>
          <w:rFonts w:ascii="Times New Roman" w:hAnsi="Times New Roman" w:cs="Times New Roman"/>
          <w:sz w:val="24"/>
          <w:szCs w:val="24"/>
        </w:rPr>
      </w:pPr>
    </w:p>
    <w:p w14:paraId="5075CE07" w14:textId="77777777" w:rsidR="00160D79" w:rsidRDefault="00224D7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Early Ideas about Exile </w:t>
      </w:r>
    </w:p>
    <w:p w14:paraId="58A6F8D7" w14:textId="09B3B073" w:rsidR="00160D79" w:rsidRDefault="00224D70">
      <w:pPr>
        <w:spacing w:line="480" w:lineRule="auto"/>
        <w:jc w:val="both"/>
        <w:rPr>
          <w:rFonts w:ascii="Times New Roman" w:hAnsi="Times New Roman" w:cs="Times New Roman"/>
          <w:sz w:val="24"/>
        </w:rPr>
      </w:pPr>
      <w:r>
        <w:rPr>
          <w:rFonts w:ascii="Times New Roman" w:hAnsi="Times New Roman" w:cs="Times New Roman"/>
          <w:sz w:val="24"/>
          <w:szCs w:val="24"/>
        </w:rPr>
        <w:t>Early ideas about exile</w:t>
      </w:r>
      <w:r w:rsidR="00324B49">
        <w:rPr>
          <w:rFonts w:ascii="Times New Roman" w:hAnsi="Times New Roman" w:cs="Times New Roman"/>
          <w:sz w:val="24"/>
          <w:szCs w:val="24"/>
        </w:rPr>
        <w:t>, as the term’s etymology reveals,</w:t>
      </w:r>
      <w:r>
        <w:rPr>
          <w:rFonts w:ascii="Times New Roman" w:hAnsi="Times New Roman" w:cs="Times New Roman"/>
          <w:sz w:val="24"/>
          <w:szCs w:val="24"/>
        </w:rPr>
        <w:t xml:space="preserve"> focused on exile as a geographical displacement or banishment, brought about for political reasons. “</w:t>
      </w:r>
      <w:r w:rsidR="00324B49">
        <w:rPr>
          <w:rFonts w:ascii="Times New Roman" w:hAnsi="Times New Roman" w:cs="Times New Roman"/>
          <w:sz w:val="24"/>
          <w:szCs w:val="24"/>
        </w:rPr>
        <w:t>E</w:t>
      </w:r>
      <w:r>
        <w:rPr>
          <w:rFonts w:ascii="Times New Roman" w:hAnsi="Times New Roman" w:cs="Times New Roman"/>
          <w:sz w:val="24"/>
          <w:szCs w:val="24"/>
        </w:rPr>
        <w:t xml:space="preserve">xile” originates from the Latin </w:t>
      </w:r>
      <w:r>
        <w:rPr>
          <w:rFonts w:ascii="Times New Roman" w:hAnsi="Times New Roman" w:cs="Times New Roman"/>
          <w:i/>
          <w:sz w:val="24"/>
        </w:rPr>
        <w:t>exilium</w:t>
      </w:r>
      <w:r>
        <w:rPr>
          <w:rFonts w:ascii="Times New Roman" w:hAnsi="Times New Roman" w:cs="Times New Roman"/>
          <w:sz w:val="24"/>
        </w:rPr>
        <w:t>: the prefix “ex” means “out of” and the root word “solum” means “ground, land”, and therefore the term refers to a forceful separation. Indeed, in Roman law, exile was considered a capital punishment as an alternative to death, although individuals could also choose to go into voluntary exile to avoid criminal charges (</w:t>
      </w:r>
      <w:r w:rsidRPr="008F43C9">
        <w:rPr>
          <w:rFonts w:ascii="Times New Roman" w:hAnsi="Times New Roman" w:cs="Times New Roman"/>
          <w:sz w:val="24"/>
        </w:rPr>
        <w:t>Kelly</w:t>
      </w:r>
      <w:r>
        <w:rPr>
          <w:rFonts w:ascii="Times New Roman" w:hAnsi="Times New Roman" w:cs="Times New Roman"/>
          <w:sz w:val="24"/>
        </w:rPr>
        <w:t xml:space="preserve"> 1). The definitions proposed by </w:t>
      </w:r>
      <w:r w:rsidRPr="008F43C9">
        <w:rPr>
          <w:rFonts w:ascii="Times New Roman" w:hAnsi="Times New Roman" w:cs="Times New Roman"/>
          <w:sz w:val="24"/>
        </w:rPr>
        <w:t xml:space="preserve">the </w:t>
      </w:r>
      <w:r w:rsidRPr="008F43C9">
        <w:rPr>
          <w:rFonts w:ascii="Times New Roman" w:hAnsi="Times New Roman" w:cs="Times New Roman"/>
          <w:i/>
          <w:iCs/>
          <w:sz w:val="24"/>
        </w:rPr>
        <w:t>Oxford English Dictionary</w:t>
      </w:r>
      <w:r w:rsidRPr="008F43C9">
        <w:rPr>
          <w:rFonts w:ascii="Times New Roman" w:hAnsi="Times New Roman" w:cs="Times New Roman"/>
          <w:sz w:val="24"/>
        </w:rPr>
        <w:t xml:space="preserve"> (OED) support this duality of exile as banishment and exile as a voluntary absence from the native land</w:t>
      </w:r>
      <w:r w:rsidR="005E5C3D">
        <w:rPr>
          <w:rFonts w:ascii="Times New Roman" w:hAnsi="Times New Roman" w:cs="Times New Roman"/>
          <w:sz w:val="24"/>
        </w:rPr>
        <w:t>.</w:t>
      </w:r>
      <w:r w:rsidR="0032456A" w:rsidRPr="008F43C9">
        <w:rPr>
          <w:rFonts w:ascii="Times New Roman" w:hAnsi="Times New Roman" w:cs="Times New Roman"/>
          <w:sz w:val="24"/>
        </w:rPr>
        <w:t xml:space="preserve"> </w:t>
      </w:r>
      <w:r w:rsidRPr="008F43C9">
        <w:rPr>
          <w:rFonts w:ascii="Times New Roman" w:hAnsi="Times New Roman" w:cs="Times New Roman"/>
          <w:sz w:val="24"/>
        </w:rPr>
        <w:t>According to the OED,</w:t>
      </w:r>
      <w:r>
        <w:rPr>
          <w:rFonts w:ascii="Times New Roman" w:hAnsi="Times New Roman" w:cs="Times New Roman"/>
          <w:sz w:val="24"/>
        </w:rPr>
        <w:t xml:space="preserve"> exile is both a “prolonged absence from one’s native country or place regarded as home, endured by force of circumstances or voluntarily undergone for some purpose” and a “banishment to a foreign country or to a remote part of one’s own country, according to an edict or judicial sentence”</w:t>
      </w:r>
      <w:r w:rsidR="008F43C9" w:rsidRPr="008F43C9">
        <w:rPr>
          <w:rFonts w:ascii="Times New Roman" w:hAnsi="Times New Roman" w:cs="Times New Roman"/>
          <w:sz w:val="24"/>
        </w:rPr>
        <w:t xml:space="preserve"> </w:t>
      </w:r>
      <w:r w:rsidR="008F43C9">
        <w:rPr>
          <w:rFonts w:ascii="Times New Roman" w:hAnsi="Times New Roman" w:cs="Times New Roman"/>
          <w:sz w:val="24"/>
        </w:rPr>
        <w:t xml:space="preserve">(“Exile”). </w:t>
      </w:r>
      <w:r>
        <w:rPr>
          <w:rFonts w:ascii="Times New Roman" w:hAnsi="Times New Roman" w:cs="Times New Roman"/>
          <w:sz w:val="24"/>
        </w:rPr>
        <w:t xml:space="preserve">Historical representations of exile in literature demonstrate that people could be banished into exile for numerous reasons. In William </w:t>
      </w:r>
      <w:r w:rsidRPr="00BD3A5F">
        <w:rPr>
          <w:rFonts w:ascii="Times New Roman" w:hAnsi="Times New Roman" w:cs="Times New Roman"/>
          <w:sz w:val="24"/>
        </w:rPr>
        <w:t>Shakespeare</w:t>
      </w:r>
      <w:r>
        <w:rPr>
          <w:rFonts w:ascii="Times New Roman" w:hAnsi="Times New Roman" w:cs="Times New Roman"/>
          <w:sz w:val="24"/>
        </w:rPr>
        <w:t xml:space="preserve">’s </w:t>
      </w:r>
      <w:r>
        <w:rPr>
          <w:rFonts w:ascii="Times New Roman" w:hAnsi="Times New Roman" w:cs="Times New Roman"/>
          <w:i/>
          <w:sz w:val="24"/>
        </w:rPr>
        <w:t xml:space="preserve">Romeo and Juliet </w:t>
      </w:r>
      <w:r>
        <w:rPr>
          <w:rFonts w:ascii="Times New Roman" w:hAnsi="Times New Roman" w:cs="Times New Roman"/>
          <w:sz w:val="24"/>
        </w:rPr>
        <w:t xml:space="preserve">(1597), </w:t>
      </w:r>
      <w:r w:rsidR="00CE7B00">
        <w:rPr>
          <w:rFonts w:ascii="Times New Roman" w:hAnsi="Times New Roman" w:cs="Times New Roman"/>
          <w:sz w:val="24"/>
        </w:rPr>
        <w:lastRenderedPageBreak/>
        <w:t xml:space="preserve">for example, </w:t>
      </w:r>
      <w:r>
        <w:rPr>
          <w:rFonts w:ascii="Times New Roman" w:hAnsi="Times New Roman" w:cs="Times New Roman"/>
          <w:sz w:val="24"/>
        </w:rPr>
        <w:t xml:space="preserve">Romeo is banished for his revenge-killing of Tybalt, and in John Milton’s </w:t>
      </w:r>
      <w:r w:rsidRPr="00BD3A5F">
        <w:rPr>
          <w:rFonts w:ascii="Times New Roman" w:hAnsi="Times New Roman" w:cs="Times New Roman"/>
          <w:i/>
          <w:sz w:val="24"/>
        </w:rPr>
        <w:t>Paradise Lost</w:t>
      </w:r>
      <w:r w:rsidRPr="00BD3A5F">
        <w:rPr>
          <w:rFonts w:ascii="Times New Roman" w:hAnsi="Times New Roman" w:cs="Times New Roman"/>
          <w:sz w:val="24"/>
        </w:rPr>
        <w:t xml:space="preserve"> (</w:t>
      </w:r>
      <w:r>
        <w:rPr>
          <w:rFonts w:ascii="Times New Roman" w:hAnsi="Times New Roman" w:cs="Times New Roman"/>
          <w:sz w:val="24"/>
        </w:rPr>
        <w:t>1608-1674), Adam and Eve are banned from Eden for committing the sin of giving into their lust. The equation of exile and banishment also holds up in later texts from the</w:t>
      </w:r>
      <w:r w:rsidR="0033472F">
        <w:rPr>
          <w:rFonts w:ascii="Times New Roman" w:hAnsi="Times New Roman" w:cs="Times New Roman"/>
          <w:sz w:val="24"/>
        </w:rPr>
        <w:t xml:space="preserve"> twentieth</w:t>
      </w:r>
      <w:r>
        <w:rPr>
          <w:rFonts w:ascii="Times New Roman" w:hAnsi="Times New Roman" w:cs="Times New Roman"/>
          <w:sz w:val="24"/>
        </w:rPr>
        <w:t xml:space="preserve"> century, written across a variety of geographical and political contexts. This later work demonstrates that banishment not only occurs for committing a criminal or a morally repugnant act – although this does also act as a motif in writing such as in </w:t>
      </w:r>
      <w:r w:rsidRPr="008F43C9">
        <w:rPr>
          <w:rFonts w:ascii="Times New Roman" w:hAnsi="Times New Roman" w:cs="Times New Roman"/>
          <w:sz w:val="24"/>
        </w:rPr>
        <w:t xml:space="preserve">Chinua Achebe’s </w:t>
      </w:r>
      <w:r w:rsidRPr="008F43C9">
        <w:rPr>
          <w:rFonts w:ascii="Times New Roman" w:hAnsi="Times New Roman" w:cs="Times New Roman"/>
          <w:i/>
          <w:sz w:val="24"/>
        </w:rPr>
        <w:t>Things Fall Apart</w:t>
      </w:r>
      <w:r>
        <w:rPr>
          <w:rFonts w:ascii="Times New Roman" w:hAnsi="Times New Roman" w:cs="Times New Roman"/>
          <w:sz w:val="24"/>
        </w:rPr>
        <w:t xml:space="preserve"> (1958), in which the protagonist Okonkwo is banished from the village of Umuofia by his clan for inadvertently killing the son of a village elder at the elder’s funeral. Exile can be a punishment for protesting against a particular political regime – as in Uruguayan novelist Mario </w:t>
      </w:r>
      <w:r w:rsidRPr="008F43C9">
        <w:rPr>
          <w:rFonts w:ascii="Times New Roman" w:hAnsi="Times New Roman" w:cs="Times New Roman"/>
          <w:sz w:val="24"/>
        </w:rPr>
        <w:t>Benedetti’s</w:t>
      </w:r>
      <w:r>
        <w:rPr>
          <w:rFonts w:ascii="Times New Roman" w:hAnsi="Times New Roman" w:cs="Times New Roman"/>
          <w:sz w:val="24"/>
        </w:rPr>
        <w:t xml:space="preserve"> 1982 novel, </w:t>
      </w:r>
      <w:r>
        <w:rPr>
          <w:rFonts w:ascii="Times New Roman" w:hAnsi="Times New Roman" w:cs="Times New Roman"/>
          <w:i/>
          <w:sz w:val="24"/>
        </w:rPr>
        <w:t xml:space="preserve">Primavera con una esquina rota </w:t>
      </w:r>
      <w:r>
        <w:rPr>
          <w:rFonts w:ascii="Times New Roman" w:hAnsi="Times New Roman" w:cs="Times New Roman"/>
          <w:iCs/>
          <w:sz w:val="24"/>
        </w:rPr>
        <w:t>[</w:t>
      </w:r>
      <w:r>
        <w:rPr>
          <w:rFonts w:ascii="Times New Roman" w:hAnsi="Times New Roman" w:cs="Times New Roman"/>
          <w:i/>
          <w:sz w:val="24"/>
        </w:rPr>
        <w:t>Spring with a Broken Corner</w:t>
      </w:r>
      <w:r>
        <w:rPr>
          <w:rFonts w:ascii="Times New Roman" w:hAnsi="Times New Roman" w:cs="Times New Roman"/>
          <w:iCs/>
          <w:sz w:val="24"/>
        </w:rPr>
        <w:t>]</w:t>
      </w:r>
      <w:r>
        <w:rPr>
          <w:rFonts w:ascii="Times New Roman" w:hAnsi="Times New Roman" w:cs="Times New Roman"/>
          <w:sz w:val="24"/>
        </w:rPr>
        <w:t>, in which the protagonist Santiago is imprisoned in Montevideo following a military coup and his family are sent into exile in Buenos Aires. It can also be the consequence of war and conflict, such as in Iran</w:t>
      </w:r>
      <w:r w:rsidR="009E5BF5">
        <w:rPr>
          <w:rFonts w:ascii="Times New Roman" w:hAnsi="Times New Roman" w:cs="Times New Roman"/>
          <w:sz w:val="24"/>
        </w:rPr>
        <w:t>ian</w:t>
      </w:r>
      <w:r w:rsidR="002633EF">
        <w:rPr>
          <w:rFonts w:ascii="Times New Roman" w:hAnsi="Times New Roman" w:cs="Times New Roman"/>
          <w:sz w:val="24"/>
        </w:rPr>
        <w:t>-French</w:t>
      </w:r>
      <w:r>
        <w:rPr>
          <w:rFonts w:ascii="Times New Roman" w:hAnsi="Times New Roman" w:cs="Times New Roman"/>
          <w:sz w:val="24"/>
        </w:rPr>
        <w:t xml:space="preserve"> writer </w:t>
      </w:r>
      <w:bookmarkStart w:id="0" w:name="_Hlk142225437"/>
      <w:r w:rsidRPr="008F43C9">
        <w:rPr>
          <w:rFonts w:ascii="Times New Roman" w:hAnsi="Times New Roman" w:cs="Times New Roman"/>
          <w:sz w:val="24"/>
        </w:rPr>
        <w:t>Négar Djavadi’s</w:t>
      </w:r>
      <w:r>
        <w:rPr>
          <w:rFonts w:ascii="Times New Roman" w:hAnsi="Times New Roman" w:cs="Times New Roman"/>
          <w:sz w:val="24"/>
        </w:rPr>
        <w:t xml:space="preserve"> </w:t>
      </w:r>
      <w:bookmarkEnd w:id="0"/>
      <w:r>
        <w:rPr>
          <w:rFonts w:ascii="Times New Roman" w:hAnsi="Times New Roman" w:cs="Times New Roman"/>
          <w:sz w:val="24"/>
        </w:rPr>
        <w:t xml:space="preserve">debut novel </w:t>
      </w:r>
      <w:r>
        <w:rPr>
          <w:rFonts w:ascii="Times New Roman" w:hAnsi="Times New Roman" w:cs="Times New Roman"/>
          <w:i/>
          <w:iCs/>
          <w:sz w:val="24"/>
        </w:rPr>
        <w:t>Désorientale</w:t>
      </w:r>
      <w:r>
        <w:rPr>
          <w:rFonts w:ascii="Times New Roman" w:hAnsi="Times New Roman" w:cs="Times New Roman"/>
          <w:sz w:val="24"/>
        </w:rPr>
        <w:t xml:space="preserve"> (2016) [</w:t>
      </w:r>
      <w:r>
        <w:rPr>
          <w:rFonts w:ascii="Times New Roman" w:hAnsi="Times New Roman" w:cs="Times New Roman"/>
          <w:i/>
          <w:iCs/>
          <w:sz w:val="24"/>
        </w:rPr>
        <w:t>Disoriental</w:t>
      </w:r>
      <w:r>
        <w:rPr>
          <w:rFonts w:ascii="Times New Roman" w:hAnsi="Times New Roman" w:cs="Times New Roman"/>
          <w:sz w:val="24"/>
        </w:rPr>
        <w:t>], which narrates the protagonist Kimiâ’s escape to Paris from Iran aged only ten as her family is targeted by the militia during the 1979 revolution. As this chapter will show, writers have since departed from this rather restrictive definition of exile as political banishment and have instead proposed wider and more inclusive models in which exile does not necessarily have to be linked to migration.</w:t>
      </w:r>
    </w:p>
    <w:p w14:paraId="135DF98E" w14:textId="6A587357" w:rsidR="00160D79" w:rsidRDefault="00224D70">
      <w:pPr>
        <w:spacing w:line="480" w:lineRule="auto"/>
        <w:jc w:val="both"/>
        <w:rPr>
          <w:rFonts w:ascii="Times New Roman" w:hAnsi="Times New Roman" w:cs="Times New Roman"/>
          <w:sz w:val="24"/>
        </w:rPr>
      </w:pPr>
      <w:r w:rsidRPr="008F43C9">
        <w:rPr>
          <w:rFonts w:ascii="Times New Roman" w:hAnsi="Times New Roman" w:cs="Times New Roman"/>
          <w:sz w:val="24"/>
        </w:rPr>
        <w:t xml:space="preserve">Early theoretical work which emerged in twentieth-century Europe continued this focus on geographical displacement. For instance, Adorno theorized his own displacements from Frankfurt to New York and Los Angeles and then back to Frankfurt as an exile in texts such as </w:t>
      </w:r>
      <w:r w:rsidRPr="008F43C9">
        <w:rPr>
          <w:rFonts w:ascii="Times New Roman" w:hAnsi="Times New Roman" w:cs="Times New Roman"/>
          <w:i/>
          <w:iCs/>
          <w:sz w:val="24"/>
        </w:rPr>
        <w:t>Minima Moralia: Reflections from Damaged Life</w:t>
      </w:r>
      <w:r w:rsidRPr="008F43C9">
        <w:rPr>
          <w:rFonts w:ascii="Times New Roman" w:hAnsi="Times New Roman" w:cs="Times New Roman"/>
          <w:sz w:val="24"/>
        </w:rPr>
        <w:t xml:space="preserve"> (1951)</w:t>
      </w:r>
      <w:r w:rsidR="00042CF8">
        <w:rPr>
          <w:rFonts w:ascii="Times New Roman" w:hAnsi="Times New Roman" w:cs="Times New Roman"/>
          <w:sz w:val="24"/>
        </w:rPr>
        <w:t>.</w:t>
      </w:r>
      <w:r w:rsidRPr="008F43C9">
        <w:rPr>
          <w:rFonts w:ascii="Times New Roman" w:hAnsi="Times New Roman" w:cs="Times New Roman"/>
          <w:sz w:val="24"/>
        </w:rPr>
        <w:t xml:space="preserve"> In this text, Adorno</w:t>
      </w:r>
      <w:r>
        <w:rPr>
          <w:rFonts w:ascii="Times New Roman" w:hAnsi="Times New Roman" w:cs="Times New Roman"/>
          <w:sz w:val="24"/>
        </w:rPr>
        <w:t xml:space="preserve"> reflects on his own experiences of exile during and in the immediate aftermath of World War Two; he was half Jewish and was thus expelled from Germany in 1934. He considers the exilic experience to be an example of a damaged and traumatic existence because exiled people always feel like </w:t>
      </w:r>
      <w:r>
        <w:rPr>
          <w:rFonts w:ascii="Times New Roman" w:hAnsi="Times New Roman" w:cs="Times New Roman"/>
          <w:sz w:val="24"/>
        </w:rPr>
        <w:lastRenderedPageBreak/>
        <w:t>outsiders. Arendt also wrote about exile as banishment following her numerous exiles</w:t>
      </w:r>
      <w:r w:rsidR="00CB7AC3">
        <w:rPr>
          <w:rFonts w:ascii="Times New Roman" w:hAnsi="Times New Roman" w:cs="Times New Roman"/>
          <w:sz w:val="24"/>
        </w:rPr>
        <w:t xml:space="preserve"> from Germany to </w:t>
      </w:r>
      <w:r w:rsidR="003E7031">
        <w:rPr>
          <w:rFonts w:ascii="Times New Roman" w:hAnsi="Times New Roman" w:cs="Times New Roman"/>
          <w:sz w:val="24"/>
        </w:rPr>
        <w:t>Czechoslovakia</w:t>
      </w:r>
      <w:r w:rsidR="002B0F6F">
        <w:rPr>
          <w:rFonts w:ascii="Times New Roman" w:hAnsi="Times New Roman" w:cs="Times New Roman"/>
          <w:sz w:val="24"/>
        </w:rPr>
        <w:t>, Switzerland, and France</w:t>
      </w:r>
      <w:r w:rsidR="00A6531B">
        <w:rPr>
          <w:rFonts w:ascii="Times New Roman" w:hAnsi="Times New Roman" w:cs="Times New Roman"/>
          <w:sz w:val="24"/>
        </w:rPr>
        <w:t xml:space="preserve"> in the 1930s, and</w:t>
      </w:r>
      <w:r w:rsidR="00AF640B">
        <w:rPr>
          <w:rFonts w:ascii="Times New Roman" w:hAnsi="Times New Roman" w:cs="Times New Roman"/>
          <w:sz w:val="24"/>
        </w:rPr>
        <w:t xml:space="preserve"> to the United States in 1941</w:t>
      </w:r>
      <w:r>
        <w:rPr>
          <w:rFonts w:ascii="Times New Roman" w:hAnsi="Times New Roman" w:cs="Times New Roman"/>
          <w:sz w:val="24"/>
        </w:rPr>
        <w:t xml:space="preserve">. For Arendt, exile is less about the banishment of individual people for crimes they may or may not have committed, and more about the large-scale uprooting of people from their homes due to a loss of citizenship following war and conflict. Such policies leave “hundreds of thousands of citizens to the sovereign and arbitrary decisions of other nations”, leading to statelessness on a mass scale </w:t>
      </w:r>
      <w:r w:rsidRPr="008F43C9">
        <w:rPr>
          <w:rFonts w:ascii="Times New Roman" w:hAnsi="Times New Roman" w:cs="Times New Roman"/>
          <w:sz w:val="24"/>
        </w:rPr>
        <w:t>(Arendt 140</w:t>
      </w:r>
      <w:r>
        <w:rPr>
          <w:rFonts w:ascii="Times New Roman" w:hAnsi="Times New Roman" w:cs="Times New Roman"/>
          <w:sz w:val="24"/>
        </w:rPr>
        <w:t xml:space="preserve">). </w:t>
      </w:r>
    </w:p>
    <w:p w14:paraId="5F049EF2" w14:textId="7CDC51BC"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More recent theoretical work produced in Europe and the United States has widened understandings of exile to depart from the association of exile and banishment, but the focus is still primarily on the geographical. </w:t>
      </w:r>
      <w:r w:rsidRPr="008F43C9">
        <w:rPr>
          <w:rFonts w:ascii="Times New Roman" w:hAnsi="Times New Roman" w:cs="Times New Roman"/>
          <w:sz w:val="24"/>
        </w:rPr>
        <w:t>Said’s 2001</w:t>
      </w:r>
      <w:r>
        <w:rPr>
          <w:rFonts w:ascii="Times New Roman" w:hAnsi="Times New Roman" w:cs="Times New Roman"/>
          <w:sz w:val="24"/>
        </w:rPr>
        <w:t xml:space="preserve"> essay “Reflections on Exile” is widely cited as the cornerstone of theoretical work on exile in the twentieth and twenty-first centuries. Said defines exile as a physical movement between an individual and a native place. He writes that exile is “the unhealable rift forced between a human being and a native place, between the self and its true home” (173). For Said, exile is a condition of sorrow which can never be overcome, no matter how successful one is in the new country: “the achievements of exile are permanently undermined by the loss of something left behind forever” (Said 173). However, he also insists that exile is an ambivalent state which contrasts between “personal desolation and cultural empowerment”, as Bill </w:t>
      </w:r>
      <w:r w:rsidRPr="0032456A">
        <w:rPr>
          <w:rFonts w:ascii="Times New Roman" w:hAnsi="Times New Roman" w:cs="Times New Roman"/>
          <w:sz w:val="24"/>
        </w:rPr>
        <w:t>Ashcroft and Pal Ahluwalia</w:t>
      </w:r>
      <w:r>
        <w:rPr>
          <w:rFonts w:ascii="Times New Roman" w:hAnsi="Times New Roman" w:cs="Times New Roman"/>
          <w:sz w:val="24"/>
        </w:rPr>
        <w:t xml:space="preserve"> put it (39-40); exile can be a productive condition because it provides a sense of detachment from the native culture and enables individuals to see the creative potentiality of exile. While for Said exile is not a chosen condition – he writes that “you are born into it, or it happens to you” (184) – exiles do have a certain degree of agency in the ways in which they reconstruct their identity while in exile. Said posits that exile is “nomadic, decentered, contrapuntal” (186), which means that exiles must make efforts to provisionally reconfigure their sense of self in a new environment against </w:t>
      </w:r>
      <w:r>
        <w:rPr>
          <w:rFonts w:ascii="Times New Roman" w:hAnsi="Times New Roman" w:cs="Times New Roman"/>
          <w:sz w:val="24"/>
        </w:rPr>
        <w:lastRenderedPageBreak/>
        <w:t>the memory of their old life. They are therefore actively engaged in a sense-making process, characterized by creativity and freedom to start their life anew.</w:t>
      </w:r>
    </w:p>
    <w:p w14:paraId="30BF994C" w14:textId="1AA1CEB3"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While Said sees exile as primarily a geographic movement from one place to another, he does not accord much importance to the nation state. He does not explicitly posit that this movement must necessarily occur across national borders, and instead he emphasizes the in-between identity of the exile. This is a point also made by </w:t>
      </w:r>
      <w:r w:rsidRPr="00D1405C">
        <w:rPr>
          <w:rFonts w:ascii="Times New Roman" w:hAnsi="Times New Roman" w:cs="Times New Roman"/>
          <w:sz w:val="24"/>
        </w:rPr>
        <w:t>Walter Mignolo,</w:t>
      </w:r>
      <w:r>
        <w:rPr>
          <w:rFonts w:ascii="Times New Roman" w:hAnsi="Times New Roman" w:cs="Times New Roman"/>
          <w:sz w:val="24"/>
        </w:rPr>
        <w:t xml:space="preserve"> who views exile as a “location-in-movement” rather than a “location-in-land” (15). For both Mignolo and Said, exile is created through continuous movement rather than through the relationship with a different nation state to the one where the exile was born. </w:t>
      </w:r>
    </w:p>
    <w:p w14:paraId="4168C21D" w14:textId="7AA3AABB"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Said’s work in particular has been highly influential for contemporary scholars of exile, but numerous critiques have also been levelled at his work. For instance, he has been criticized for only focusing on the exile of the elites. In “Reflections on Exile” he analyses the exile of distinguished, male, canonical Western writers such as Joseph Conrad, James Joyce, and Ernest Hemingway. It is undoubtable that “the exile of literary and intellectual figures is inherently privileged” and thus very different to the exile experienced by ordinary people (</w:t>
      </w:r>
      <w:r w:rsidRPr="00D1405C">
        <w:rPr>
          <w:rFonts w:ascii="Times New Roman" w:hAnsi="Times New Roman" w:cs="Times New Roman"/>
          <w:sz w:val="24"/>
        </w:rPr>
        <w:t>Wimbush</w:t>
      </w:r>
      <w:r>
        <w:rPr>
          <w:rFonts w:ascii="Times New Roman" w:hAnsi="Times New Roman" w:cs="Times New Roman"/>
          <w:sz w:val="24"/>
        </w:rPr>
        <w:t xml:space="preserve"> 8). This is a point also made by Nathan </w:t>
      </w:r>
      <w:r w:rsidRPr="00006F3C">
        <w:rPr>
          <w:rFonts w:ascii="Times New Roman" w:hAnsi="Times New Roman" w:cs="Times New Roman"/>
          <w:sz w:val="24"/>
        </w:rPr>
        <w:t>Riley Carpenter and Benjamin N. Lawrance</w:t>
      </w:r>
      <w:r>
        <w:rPr>
          <w:rFonts w:ascii="Times New Roman" w:hAnsi="Times New Roman" w:cs="Times New Roman"/>
          <w:sz w:val="24"/>
        </w:rPr>
        <w:t xml:space="preserve"> but in a very different context. They call attention to the problems of framing exile as the “noble choice” only applicable for royal exiles in Africa (3) because this risks romanticizing exile and neglecting the multiplicities of exilic experiences in Africa during the colonial era of the eighteenth and nineteenth centuries. By the same token, Said overlooks the exile of ordinary people from across the world in his reflections on Western writers. He does shift the focus somewhat away from Western writers to exile across the </w:t>
      </w:r>
      <w:r w:rsidR="00506E92">
        <w:rPr>
          <w:rFonts w:ascii="Times New Roman" w:hAnsi="Times New Roman" w:cs="Times New Roman"/>
          <w:sz w:val="24"/>
        </w:rPr>
        <w:t>G</w:t>
      </w:r>
      <w:r>
        <w:rPr>
          <w:rFonts w:ascii="Times New Roman" w:hAnsi="Times New Roman" w:cs="Times New Roman"/>
          <w:sz w:val="24"/>
        </w:rPr>
        <w:t xml:space="preserve">lobal South in his 1999 memoir </w:t>
      </w:r>
      <w:r>
        <w:rPr>
          <w:rFonts w:ascii="Times New Roman" w:hAnsi="Times New Roman" w:cs="Times New Roman"/>
          <w:i/>
          <w:iCs/>
          <w:sz w:val="24"/>
        </w:rPr>
        <w:t>Out of Place</w:t>
      </w:r>
      <w:r>
        <w:rPr>
          <w:rFonts w:ascii="Times New Roman" w:hAnsi="Times New Roman" w:cs="Times New Roman"/>
          <w:sz w:val="24"/>
        </w:rPr>
        <w:t>, in which he discusses his own exilic experiences in Egypt and Palestine. Yet the cultural references in this text are still largely European and American</w:t>
      </w:r>
      <w:r w:rsidR="00016096">
        <w:rPr>
          <w:rFonts w:ascii="Times New Roman" w:hAnsi="Times New Roman" w:cs="Times New Roman"/>
          <w:sz w:val="24"/>
        </w:rPr>
        <w:t xml:space="preserve"> (Zeleza</w:t>
      </w:r>
      <w:r w:rsidR="000B1B70">
        <w:rPr>
          <w:rFonts w:ascii="Times New Roman" w:hAnsi="Times New Roman" w:cs="Times New Roman"/>
          <w:sz w:val="24"/>
        </w:rPr>
        <w:t xml:space="preserve"> 7)</w:t>
      </w:r>
      <w:r>
        <w:rPr>
          <w:rFonts w:ascii="Times New Roman" w:hAnsi="Times New Roman" w:cs="Times New Roman"/>
          <w:sz w:val="24"/>
        </w:rPr>
        <w:t xml:space="preserve">. Moreover, he has been criticized for analysing exile “through a male prism” </w:t>
      </w:r>
      <w:r w:rsidRPr="0032456A">
        <w:rPr>
          <w:rFonts w:ascii="Times New Roman" w:hAnsi="Times New Roman" w:cs="Times New Roman"/>
          <w:sz w:val="24"/>
        </w:rPr>
        <w:t>(Chancy</w:t>
      </w:r>
      <w:r>
        <w:rPr>
          <w:rFonts w:ascii="Times New Roman" w:hAnsi="Times New Roman" w:cs="Times New Roman"/>
          <w:sz w:val="24"/>
        </w:rPr>
        <w:t xml:space="preserve"> 3) and not </w:t>
      </w:r>
      <w:r>
        <w:rPr>
          <w:rFonts w:ascii="Times New Roman" w:hAnsi="Times New Roman" w:cs="Times New Roman"/>
          <w:sz w:val="24"/>
        </w:rPr>
        <w:lastRenderedPageBreak/>
        <w:t>considering how women may experience exile differently to men. Contemporary writers</w:t>
      </w:r>
      <w:r w:rsidR="004F1732">
        <w:rPr>
          <w:rFonts w:ascii="Times New Roman" w:hAnsi="Times New Roman" w:cs="Times New Roman"/>
          <w:sz w:val="24"/>
        </w:rPr>
        <w:t>, a</w:t>
      </w:r>
      <w:r>
        <w:rPr>
          <w:rFonts w:ascii="Times New Roman" w:hAnsi="Times New Roman" w:cs="Times New Roman"/>
          <w:sz w:val="24"/>
        </w:rPr>
        <w:t xml:space="preserve">s we shall see in the following section, propose new conceptualizations of exile </w:t>
      </w:r>
      <w:r w:rsidR="004F1732">
        <w:rPr>
          <w:rFonts w:ascii="Times New Roman" w:hAnsi="Times New Roman" w:cs="Times New Roman"/>
          <w:sz w:val="24"/>
        </w:rPr>
        <w:t xml:space="preserve">in their work </w:t>
      </w:r>
      <w:r>
        <w:rPr>
          <w:rFonts w:ascii="Times New Roman" w:hAnsi="Times New Roman" w:cs="Times New Roman"/>
          <w:sz w:val="24"/>
        </w:rPr>
        <w:t>which encompass female experiences and are more inclusive of different cultural and socio-economic contexts.</w:t>
      </w:r>
    </w:p>
    <w:p w14:paraId="6AEBB3A4" w14:textId="77777777" w:rsidR="00160D79" w:rsidRDefault="00160D79">
      <w:pPr>
        <w:spacing w:line="480" w:lineRule="auto"/>
        <w:jc w:val="both"/>
        <w:rPr>
          <w:rFonts w:ascii="Times New Roman" w:hAnsi="Times New Roman" w:cs="Times New Roman"/>
          <w:sz w:val="24"/>
        </w:rPr>
      </w:pPr>
    </w:p>
    <w:p w14:paraId="6F578400" w14:textId="77777777" w:rsidR="00160D79" w:rsidRDefault="00224D70">
      <w:pPr>
        <w:spacing w:line="480" w:lineRule="auto"/>
        <w:jc w:val="both"/>
        <w:rPr>
          <w:rFonts w:ascii="Times New Roman" w:hAnsi="Times New Roman" w:cs="Times New Roman"/>
          <w:b/>
          <w:bCs/>
          <w:sz w:val="24"/>
        </w:rPr>
      </w:pPr>
      <w:r>
        <w:rPr>
          <w:rFonts w:ascii="Times New Roman" w:hAnsi="Times New Roman" w:cs="Times New Roman"/>
          <w:b/>
          <w:bCs/>
          <w:sz w:val="24"/>
        </w:rPr>
        <w:t>New Models of Exile</w:t>
      </w:r>
    </w:p>
    <w:p w14:paraId="5E7FDD16" w14:textId="530ECA42"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Migration literature offers new ways of thinking about exile which emerge from the term’s complex etymology. Sophia </w:t>
      </w:r>
      <w:r w:rsidRPr="0032456A">
        <w:rPr>
          <w:rFonts w:ascii="Times New Roman" w:hAnsi="Times New Roman" w:cs="Times New Roman"/>
          <w:sz w:val="24"/>
        </w:rPr>
        <w:t>McClennen</w:t>
      </w:r>
      <w:r>
        <w:rPr>
          <w:rFonts w:ascii="Times New Roman" w:hAnsi="Times New Roman" w:cs="Times New Roman"/>
          <w:sz w:val="24"/>
        </w:rPr>
        <w:t xml:space="preserve"> explains that</w:t>
      </w:r>
      <w:r>
        <w:rPr>
          <w:rFonts w:ascii="Times New Roman" w:hAnsi="Times New Roman" w:cs="Times New Roman"/>
          <w:i/>
          <w:sz w:val="24"/>
        </w:rPr>
        <w:t xml:space="preserve"> exilium</w:t>
      </w:r>
      <w:r>
        <w:rPr>
          <w:rFonts w:ascii="Times New Roman" w:hAnsi="Times New Roman" w:cs="Times New Roman"/>
          <w:sz w:val="24"/>
        </w:rPr>
        <w:t xml:space="preserve"> “is also thought to relate to the Latin verb “salire”, “to leap or spring’”, and thus “already within the Latin etymology of the term we find the contradictory notions of exile as a move forward and also a forceful separation” (14). Novels such as </w:t>
      </w:r>
      <w:r>
        <w:rPr>
          <w:rFonts w:ascii="Times New Roman" w:hAnsi="Times New Roman" w:cs="Times New Roman"/>
          <w:i/>
          <w:sz w:val="24"/>
        </w:rPr>
        <w:t xml:space="preserve">The Famished Road </w:t>
      </w:r>
      <w:r>
        <w:rPr>
          <w:rFonts w:ascii="Times New Roman" w:hAnsi="Times New Roman" w:cs="Times New Roman"/>
          <w:sz w:val="24"/>
        </w:rPr>
        <w:t xml:space="preserve">(1991) by Nigerian-British </w:t>
      </w:r>
      <w:r w:rsidR="004F1732">
        <w:rPr>
          <w:rFonts w:ascii="Times New Roman" w:hAnsi="Times New Roman" w:cs="Times New Roman"/>
          <w:sz w:val="24"/>
        </w:rPr>
        <w:t xml:space="preserve">writer </w:t>
      </w:r>
      <w:r w:rsidRPr="00D1405C">
        <w:rPr>
          <w:rFonts w:ascii="Times New Roman" w:hAnsi="Times New Roman" w:cs="Times New Roman"/>
          <w:sz w:val="24"/>
        </w:rPr>
        <w:t>Ben Okri</w:t>
      </w:r>
      <w:r>
        <w:rPr>
          <w:rFonts w:ascii="Times New Roman" w:hAnsi="Times New Roman" w:cs="Times New Roman"/>
          <w:sz w:val="24"/>
        </w:rPr>
        <w:t xml:space="preserve"> and </w:t>
      </w:r>
      <w:r>
        <w:rPr>
          <w:rFonts w:ascii="Times New Roman" w:hAnsi="Times New Roman" w:cs="Times New Roman"/>
          <w:i/>
          <w:sz w:val="24"/>
        </w:rPr>
        <w:t xml:space="preserve">Purple Hibiscus </w:t>
      </w:r>
      <w:r>
        <w:rPr>
          <w:rFonts w:ascii="Times New Roman" w:hAnsi="Times New Roman" w:cs="Times New Roman"/>
          <w:sz w:val="24"/>
        </w:rPr>
        <w:t xml:space="preserve">(2003) by the Nigerian Chimamanda Ngozi </w:t>
      </w:r>
      <w:r w:rsidRPr="00D1405C">
        <w:rPr>
          <w:rFonts w:ascii="Times New Roman" w:hAnsi="Times New Roman" w:cs="Times New Roman"/>
          <w:sz w:val="24"/>
        </w:rPr>
        <w:t>Adichie</w:t>
      </w:r>
      <w:r>
        <w:rPr>
          <w:rFonts w:ascii="Times New Roman" w:hAnsi="Times New Roman" w:cs="Times New Roman"/>
          <w:sz w:val="24"/>
        </w:rPr>
        <w:t xml:space="preserve"> </w:t>
      </w:r>
      <w:r w:rsidR="00ED7B5A">
        <w:rPr>
          <w:rFonts w:ascii="Times New Roman" w:hAnsi="Times New Roman" w:cs="Times New Roman"/>
          <w:sz w:val="24"/>
        </w:rPr>
        <w:t>demons</w:t>
      </w:r>
      <w:r w:rsidR="002D0D31">
        <w:rPr>
          <w:rFonts w:ascii="Times New Roman" w:hAnsi="Times New Roman" w:cs="Times New Roman"/>
          <w:sz w:val="24"/>
        </w:rPr>
        <w:t xml:space="preserve">trate that exile can be both a </w:t>
      </w:r>
      <w:r w:rsidR="00072AE6">
        <w:rPr>
          <w:rFonts w:ascii="Times New Roman" w:hAnsi="Times New Roman" w:cs="Times New Roman"/>
          <w:sz w:val="24"/>
        </w:rPr>
        <w:t xml:space="preserve">banishment and a </w:t>
      </w:r>
      <w:r w:rsidR="00006136">
        <w:rPr>
          <w:rFonts w:ascii="Times New Roman" w:hAnsi="Times New Roman" w:cs="Times New Roman"/>
          <w:sz w:val="24"/>
        </w:rPr>
        <w:t xml:space="preserve">move forward. </w:t>
      </w:r>
      <w:r>
        <w:rPr>
          <w:rFonts w:ascii="Times New Roman" w:hAnsi="Times New Roman" w:cs="Times New Roman"/>
          <w:sz w:val="24"/>
        </w:rPr>
        <w:t xml:space="preserve">It is worth pointing out that these texts are not migration narratives in the conventional sense – in </w:t>
      </w:r>
      <w:r>
        <w:rPr>
          <w:rFonts w:ascii="Times New Roman" w:hAnsi="Times New Roman" w:cs="Times New Roman"/>
          <w:i/>
          <w:iCs/>
          <w:sz w:val="24"/>
        </w:rPr>
        <w:t>Purple Hibiscus</w:t>
      </w:r>
      <w:r>
        <w:rPr>
          <w:rFonts w:ascii="Times New Roman" w:hAnsi="Times New Roman" w:cs="Times New Roman"/>
          <w:sz w:val="24"/>
        </w:rPr>
        <w:t xml:space="preserve">, only Kambili’s aunt Ifeoma moves with her family to the US, and in </w:t>
      </w:r>
      <w:r>
        <w:rPr>
          <w:rFonts w:ascii="Times New Roman" w:hAnsi="Times New Roman" w:cs="Times New Roman"/>
          <w:i/>
          <w:iCs/>
          <w:sz w:val="24"/>
        </w:rPr>
        <w:t>The Famished Road</w:t>
      </w:r>
      <w:r>
        <w:rPr>
          <w:rFonts w:ascii="Times New Roman" w:hAnsi="Times New Roman" w:cs="Times New Roman"/>
          <w:sz w:val="24"/>
        </w:rPr>
        <w:t xml:space="preserve">, we follow the protagonist Azaro’s wanderings in a remote village in an unnamed African country, but he does not migrate permanently from one location to another. </w:t>
      </w:r>
      <w:r w:rsidRPr="00006F3C">
        <w:rPr>
          <w:rFonts w:ascii="Times New Roman" w:hAnsi="Times New Roman" w:cs="Times New Roman"/>
          <w:sz w:val="24"/>
        </w:rPr>
        <w:t>Rogers Asempasah shows</w:t>
      </w:r>
      <w:r>
        <w:rPr>
          <w:rFonts w:ascii="Times New Roman" w:hAnsi="Times New Roman" w:cs="Times New Roman"/>
          <w:sz w:val="24"/>
        </w:rPr>
        <w:t xml:space="preserve"> how the two texts depart from describing exile as a “form of identity and subject location that calls into question the state as territory”, and instead explore the nation state’s potential for redemption (270). He draws on Walter </w:t>
      </w:r>
      <w:r w:rsidRPr="000A66B7">
        <w:rPr>
          <w:rFonts w:ascii="Times New Roman" w:hAnsi="Times New Roman" w:cs="Times New Roman"/>
          <w:sz w:val="24"/>
        </w:rPr>
        <w:t>Benjamin’s</w:t>
      </w:r>
      <w:r>
        <w:rPr>
          <w:rFonts w:ascii="Times New Roman" w:hAnsi="Times New Roman" w:cs="Times New Roman"/>
          <w:sz w:val="24"/>
        </w:rPr>
        <w:t xml:space="preserve"> notion of “becoming-traitor” – the intellectual must betray and transcend solidarity of the proletariat (to which he owed his means of production) in order to produce knowledge and transform the apparatus of production – and links it to the etymology of exile as “springing forward”, a conception of exile which implies will and choice, according to </w:t>
      </w:r>
      <w:r w:rsidRPr="00D1405C">
        <w:rPr>
          <w:rFonts w:ascii="Times New Roman" w:hAnsi="Times New Roman" w:cs="Times New Roman"/>
          <w:sz w:val="24"/>
        </w:rPr>
        <w:t>Nico Israel</w:t>
      </w:r>
      <w:r>
        <w:rPr>
          <w:rFonts w:ascii="Times New Roman" w:hAnsi="Times New Roman" w:cs="Times New Roman"/>
          <w:sz w:val="24"/>
        </w:rPr>
        <w:t xml:space="preserve"> (1). He thus demonstrates how, in the two texts, exile is “to become a traitor to </w:t>
      </w:r>
      <w:r>
        <w:rPr>
          <w:rFonts w:ascii="Times New Roman" w:hAnsi="Times New Roman" w:cs="Times New Roman"/>
          <w:sz w:val="24"/>
        </w:rPr>
        <w:lastRenderedPageBreak/>
        <w:t xml:space="preserve">the existing order, to leap out of the tragic captivity of time, structure, and vicious repetition, and to summon a new state of affairs” </w:t>
      </w:r>
      <w:r w:rsidRPr="00D1405C">
        <w:rPr>
          <w:rFonts w:ascii="Times New Roman" w:hAnsi="Times New Roman" w:cs="Times New Roman"/>
          <w:sz w:val="24"/>
        </w:rPr>
        <w:t>(Asempasah</w:t>
      </w:r>
      <w:r>
        <w:rPr>
          <w:rFonts w:ascii="Times New Roman" w:hAnsi="Times New Roman" w:cs="Times New Roman"/>
          <w:sz w:val="24"/>
        </w:rPr>
        <w:t xml:space="preserve"> 271). In </w:t>
      </w:r>
      <w:r>
        <w:rPr>
          <w:rFonts w:ascii="Times New Roman" w:hAnsi="Times New Roman" w:cs="Times New Roman"/>
          <w:i/>
          <w:sz w:val="24"/>
        </w:rPr>
        <w:t>The Famished Road</w:t>
      </w:r>
      <w:r>
        <w:rPr>
          <w:rFonts w:ascii="Times New Roman" w:hAnsi="Times New Roman" w:cs="Times New Roman"/>
          <w:sz w:val="24"/>
        </w:rPr>
        <w:t xml:space="preserve">, the abiku (spirit child) Azaro betrays his spirit companions, which ultimately enables him to “leap out” of the harmful place in which he lives to create an alternative community and a new way of living (Asempasah 272). For Azaro, it is exile as a liminal existence which is alienating and tragic rather than exile as betrayal, and thus the character rejects the celebration of in-betweenness put forward as empowering by postcolonial studies (Asempasah 272). In </w:t>
      </w:r>
      <w:r>
        <w:rPr>
          <w:rFonts w:ascii="Times New Roman" w:hAnsi="Times New Roman" w:cs="Times New Roman"/>
          <w:i/>
          <w:sz w:val="24"/>
        </w:rPr>
        <w:t>Purple Hibiscus</w:t>
      </w:r>
      <w:r>
        <w:rPr>
          <w:rFonts w:ascii="Times New Roman" w:hAnsi="Times New Roman" w:cs="Times New Roman"/>
          <w:sz w:val="24"/>
        </w:rPr>
        <w:t>, meanwhile, Jaja, the protagonist Kambili’s brother, rebels against his father’s colonial epistemology by refusing to participate in communion on Palm Sunday. Like Azaro, Jaja experiences exile as a “leaping out” to form a new social framework (Asempasah 279). In this text Adichie “reconfigures exile as becoming-traitor to the coloniality of knowledge, power, and being” (Asempasah 279). Here, exile takes on very different resonances to its conventional meaning of displacement and banishment; rather, exile as “ex salire” is crucial in the formation of a new postcolonial nation state.</w:t>
      </w:r>
    </w:p>
    <w:p w14:paraId="6A518DA0" w14:textId="77777777"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Another way in which migration literature has advanced understandings of exile is its recognition of gendered differences in exile. Contemporary migration novels emphasize the role of exile in enabling women to escape from a restrictive, patriarchal, and colonial society and allow them to experience freedom. Indeed, Valérie </w:t>
      </w:r>
      <w:r w:rsidRPr="00006F3C">
        <w:rPr>
          <w:rFonts w:ascii="Times New Roman" w:hAnsi="Times New Roman" w:cs="Times New Roman"/>
          <w:sz w:val="24"/>
        </w:rPr>
        <w:t>Orlando</w:t>
      </w:r>
      <w:r>
        <w:rPr>
          <w:rFonts w:ascii="Times New Roman" w:hAnsi="Times New Roman" w:cs="Times New Roman"/>
          <w:sz w:val="24"/>
        </w:rPr>
        <w:t xml:space="preserve"> posits that women writers from the Maghreb who write in French, such as </w:t>
      </w:r>
      <w:r w:rsidRPr="0091231E">
        <w:rPr>
          <w:rFonts w:ascii="Times New Roman" w:hAnsi="Times New Roman" w:cs="Times New Roman"/>
          <w:sz w:val="24"/>
        </w:rPr>
        <w:t>Assia Djebar, Leïla Sebbar, and Malika Mokeddem,</w:t>
      </w:r>
      <w:r>
        <w:rPr>
          <w:rFonts w:ascii="Times New Roman" w:hAnsi="Times New Roman" w:cs="Times New Roman"/>
          <w:sz w:val="24"/>
        </w:rPr>
        <w:t xml:space="preserve"> have found exile preferable to the “violence of patriarchal and religious fanatical regimes (such as those currently found in Algeria)” (7). For instance, exile plays an important role in the formation of the self for Sultana, the protagonist of </w:t>
      </w:r>
      <w:r w:rsidRPr="00006F3C">
        <w:rPr>
          <w:rFonts w:ascii="Times New Roman" w:hAnsi="Times New Roman" w:cs="Times New Roman"/>
          <w:sz w:val="24"/>
        </w:rPr>
        <w:t xml:space="preserve">Mokeddem’s 1993 autobiographical text </w:t>
      </w:r>
      <w:r w:rsidRPr="00006F3C">
        <w:rPr>
          <w:rFonts w:ascii="Times New Roman" w:hAnsi="Times New Roman" w:cs="Times New Roman"/>
          <w:i/>
          <w:sz w:val="24"/>
        </w:rPr>
        <w:t>L’Interdite</w:t>
      </w:r>
      <w:r>
        <w:rPr>
          <w:rFonts w:ascii="Times New Roman" w:hAnsi="Times New Roman" w:cs="Times New Roman"/>
          <w:sz w:val="24"/>
        </w:rPr>
        <w:t xml:space="preserve">. An Algerian national living in France for more than fifteen years in the wake of Algerian independence, she returns to her native village in southern Algeria to attend a funeral, and there she is confronted with traumatic memories of domestic abuse which resulted in her </w:t>
      </w:r>
      <w:r>
        <w:rPr>
          <w:rFonts w:ascii="Times New Roman" w:hAnsi="Times New Roman" w:cs="Times New Roman"/>
          <w:sz w:val="24"/>
        </w:rPr>
        <w:lastRenderedPageBreak/>
        <w:t>father killing her mother. While exile is necessary for Sultana to escape from the trauma of her childhood, it also accentuates her difference, particularly because in France she is not treated as an Algerian woman, or even a woman from the Maghreb, but as an Arab.</w:t>
      </w:r>
    </w:p>
    <w:p w14:paraId="296E9119" w14:textId="42CF57DB"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In </w:t>
      </w:r>
      <w:r>
        <w:rPr>
          <w:rFonts w:ascii="Times New Roman" w:hAnsi="Times New Roman" w:cs="Times New Roman"/>
          <w:i/>
          <w:sz w:val="24"/>
        </w:rPr>
        <w:t>L’Interdite</w:t>
      </w:r>
      <w:r>
        <w:rPr>
          <w:rFonts w:ascii="Times New Roman" w:hAnsi="Times New Roman" w:cs="Times New Roman"/>
          <w:sz w:val="24"/>
        </w:rPr>
        <w:t xml:space="preserve">, exile occurs across national borders, as Sultana flees Algeria for France, but this is not always the case in recent migration literature. Indeed, another </w:t>
      </w:r>
      <w:r w:rsidR="00251D3D">
        <w:rPr>
          <w:rFonts w:ascii="Times New Roman" w:hAnsi="Times New Roman" w:cs="Times New Roman"/>
          <w:sz w:val="24"/>
        </w:rPr>
        <w:t xml:space="preserve">feature of </w:t>
      </w:r>
      <w:r>
        <w:rPr>
          <w:rFonts w:ascii="Times New Roman" w:hAnsi="Times New Roman" w:cs="Times New Roman"/>
          <w:sz w:val="24"/>
        </w:rPr>
        <w:t xml:space="preserve">contemporary writing about exile is that exile can occur within the native land of the protagonist. Hamid </w:t>
      </w:r>
      <w:r w:rsidRPr="00006F3C">
        <w:rPr>
          <w:rFonts w:ascii="Times New Roman" w:hAnsi="Times New Roman" w:cs="Times New Roman"/>
          <w:sz w:val="24"/>
        </w:rPr>
        <w:t>Naficy</w:t>
      </w:r>
      <w:r>
        <w:rPr>
          <w:rFonts w:ascii="Times New Roman" w:hAnsi="Times New Roman" w:cs="Times New Roman"/>
          <w:sz w:val="24"/>
        </w:rPr>
        <w:t xml:space="preserve"> distinguishes between “external” exile, which involves the crossing of national borders, and “internal” exile, which can occur in the homeland. He defines the latter as “isolation, alienation, deprivation of means of production and communication, exclusion from public life” (123). These deprivations can be imposed externally or by the individuals themselves. He thus reads imprisonment, confinement within the family home, and long-term unemployment as forms of exile which prevent individuals from fully participating in society. In a similar vein, </w:t>
      </w:r>
      <w:r w:rsidRPr="00006F3C">
        <w:rPr>
          <w:rFonts w:ascii="Times New Roman" w:hAnsi="Times New Roman" w:cs="Times New Roman"/>
          <w:sz w:val="24"/>
        </w:rPr>
        <w:t>Judith Shklar</w:t>
      </w:r>
      <w:r>
        <w:rPr>
          <w:rFonts w:ascii="Times New Roman" w:hAnsi="Times New Roman" w:cs="Times New Roman"/>
          <w:sz w:val="24"/>
        </w:rPr>
        <w:t xml:space="preserve"> addresses concepts of loyalty and obligation in relation to what she terms a “nonterritorial form of exile”, which involves people excluded from citizenship in some way, whether because they are slaves or an immigrant group (48). While people who have been expelled from one country to another “have no obligations” to the expelling country, internal or excluded exiles “may be reduced to living in accordance with no rule other than his private conscious” (Shklar 48). In the Italian context, internal exile is known as </w:t>
      </w:r>
      <w:r>
        <w:rPr>
          <w:rFonts w:ascii="Times New Roman" w:hAnsi="Times New Roman" w:cs="Times New Roman"/>
          <w:i/>
          <w:sz w:val="24"/>
        </w:rPr>
        <w:t>confino</w:t>
      </w:r>
      <w:r>
        <w:rPr>
          <w:rFonts w:ascii="Times New Roman" w:hAnsi="Times New Roman" w:cs="Times New Roman"/>
          <w:sz w:val="24"/>
        </w:rPr>
        <w:t>, which refers to the incarceration of men and women in prisons without walls during Fascism (</w:t>
      </w:r>
      <w:r w:rsidRPr="00006F3C">
        <w:rPr>
          <w:rFonts w:ascii="Times New Roman" w:hAnsi="Times New Roman" w:cs="Times New Roman"/>
          <w:sz w:val="24"/>
        </w:rPr>
        <w:t>Garofalo</w:t>
      </w:r>
      <w:r w:rsidR="00006F3C" w:rsidRPr="00006F3C">
        <w:rPr>
          <w:rFonts w:ascii="Times New Roman" w:hAnsi="Times New Roman" w:cs="Times New Roman"/>
          <w:sz w:val="24"/>
        </w:rPr>
        <w:t xml:space="preserve"> et al. </w:t>
      </w:r>
      <w:r w:rsidRPr="00006F3C">
        <w:rPr>
          <w:rFonts w:ascii="Times New Roman" w:hAnsi="Times New Roman" w:cs="Times New Roman"/>
          <w:sz w:val="24"/>
        </w:rPr>
        <w:t>1).</w:t>
      </w:r>
      <w:r>
        <w:rPr>
          <w:rFonts w:ascii="Times New Roman" w:hAnsi="Times New Roman" w:cs="Times New Roman"/>
          <w:sz w:val="24"/>
        </w:rPr>
        <w:t xml:space="preserve"> One of the first literary representations of </w:t>
      </w:r>
      <w:r>
        <w:rPr>
          <w:rFonts w:ascii="Times New Roman" w:hAnsi="Times New Roman" w:cs="Times New Roman"/>
          <w:i/>
          <w:sz w:val="24"/>
        </w:rPr>
        <w:t>confino</w:t>
      </w:r>
      <w:r>
        <w:rPr>
          <w:rFonts w:ascii="Times New Roman" w:hAnsi="Times New Roman" w:cs="Times New Roman"/>
          <w:sz w:val="24"/>
        </w:rPr>
        <w:t xml:space="preserve"> is Cesare Pavese’s 1953 short story </w:t>
      </w:r>
      <w:r>
        <w:rPr>
          <w:rFonts w:ascii="Times New Roman" w:hAnsi="Times New Roman" w:cs="Times New Roman"/>
          <w:i/>
          <w:sz w:val="24"/>
        </w:rPr>
        <w:t>Terra d’esilio</w:t>
      </w:r>
      <w:r>
        <w:rPr>
          <w:rFonts w:ascii="Times New Roman" w:hAnsi="Times New Roman" w:cs="Times New Roman"/>
          <w:sz w:val="24"/>
        </w:rPr>
        <w:t>, in which the narrator, an engineer, experiences his confinement in an unnamed village to rebuild a road as a metaphorical internal exile on meeting the prisoner Otino (Garofalo</w:t>
      </w:r>
      <w:r w:rsidR="00006F3C">
        <w:rPr>
          <w:rFonts w:ascii="Times New Roman" w:hAnsi="Times New Roman" w:cs="Times New Roman"/>
          <w:sz w:val="24"/>
        </w:rPr>
        <w:t xml:space="preserve"> et al.</w:t>
      </w:r>
      <w:r>
        <w:rPr>
          <w:rFonts w:ascii="Times New Roman" w:hAnsi="Times New Roman" w:cs="Times New Roman"/>
          <w:sz w:val="24"/>
        </w:rPr>
        <w:t xml:space="preserve"> 95). More recent examples which take internal exile in a different direction include Carlo Lucarelli’s 1999 novel </w:t>
      </w:r>
      <w:bookmarkStart w:id="1" w:name="_Hlk128497183"/>
      <w:r>
        <w:rPr>
          <w:rFonts w:ascii="Times New Roman" w:hAnsi="Times New Roman" w:cs="Times New Roman"/>
          <w:i/>
          <w:sz w:val="24"/>
        </w:rPr>
        <w:t>L'isola dell’angelo caduto</w:t>
      </w:r>
      <w:bookmarkEnd w:id="1"/>
      <w:r>
        <w:rPr>
          <w:rFonts w:ascii="Times New Roman" w:hAnsi="Times New Roman" w:cs="Times New Roman"/>
          <w:sz w:val="24"/>
        </w:rPr>
        <w:t xml:space="preserve">, in which internal exile provides the backdrop for a thriller as a series of murders take place in the penal colony of </w:t>
      </w:r>
      <w:r>
        <w:rPr>
          <w:rFonts w:ascii="Times New Roman" w:hAnsi="Times New Roman" w:cs="Times New Roman"/>
          <w:sz w:val="24"/>
        </w:rPr>
        <w:lastRenderedPageBreak/>
        <w:t xml:space="preserve">Caienna in 1925, and Giorgio </w:t>
      </w:r>
      <w:r w:rsidRPr="00006F3C">
        <w:rPr>
          <w:rFonts w:ascii="Times New Roman" w:hAnsi="Times New Roman" w:cs="Times New Roman"/>
          <w:sz w:val="24"/>
        </w:rPr>
        <w:t>Robiony and Rosaria Conte’s</w:t>
      </w:r>
      <w:r>
        <w:rPr>
          <w:rFonts w:ascii="Times New Roman" w:hAnsi="Times New Roman" w:cs="Times New Roman"/>
          <w:sz w:val="24"/>
        </w:rPr>
        <w:t xml:space="preserve"> 2004 novel </w:t>
      </w:r>
      <w:bookmarkStart w:id="2" w:name="_Hlk128497294"/>
      <w:r>
        <w:rPr>
          <w:rFonts w:ascii="Times New Roman" w:hAnsi="Times New Roman" w:cs="Times New Roman"/>
          <w:i/>
          <w:sz w:val="24"/>
        </w:rPr>
        <w:t>Amori al confino</w:t>
      </w:r>
      <w:bookmarkEnd w:id="2"/>
      <w:r>
        <w:rPr>
          <w:rFonts w:ascii="Times New Roman" w:hAnsi="Times New Roman" w:cs="Times New Roman"/>
          <w:sz w:val="24"/>
        </w:rPr>
        <w:t xml:space="preserve">, which narrates the same-sex romantic and sexual experiences of a group of young men </w:t>
      </w:r>
      <w:r>
        <w:rPr>
          <w:rFonts w:ascii="Times New Roman" w:hAnsi="Times New Roman" w:cs="Times New Roman"/>
          <w:i/>
          <w:sz w:val="24"/>
        </w:rPr>
        <w:t>in confino</w:t>
      </w:r>
      <w:r>
        <w:rPr>
          <w:rFonts w:ascii="Times New Roman" w:hAnsi="Times New Roman" w:cs="Times New Roman"/>
          <w:sz w:val="24"/>
        </w:rPr>
        <w:t xml:space="preserve"> in the Tremiti islands. Internal exile was also a feature of both Nazi Germany and Francoist Spain. Mónica </w:t>
      </w:r>
      <w:r w:rsidRPr="00006F3C">
        <w:rPr>
          <w:rFonts w:ascii="Times New Roman" w:hAnsi="Times New Roman" w:cs="Times New Roman"/>
          <w:sz w:val="24"/>
        </w:rPr>
        <w:t>Jato and John Klapper</w:t>
      </w:r>
      <w:r>
        <w:rPr>
          <w:rFonts w:ascii="Times New Roman" w:hAnsi="Times New Roman" w:cs="Times New Roman"/>
          <w:sz w:val="24"/>
        </w:rPr>
        <w:t xml:space="preserve"> examine the parallels between German literary exile under National Socialism and Spanish literary exile under Francoism, distinguishing between inner exile – “an inward migration to the shadowy and at times perilous existence of literary activity under an oppressive regime” (2) – and outer exile, or territorial exile, in works of literature. Inner exile among writers in Germany and Spain, they argue, has not been given enough critical attention due to concerns surrounding ethical integrity. They show in their work that writers in both forms of exile suffered considerable hardships, and therefore they suggest that experiences of inner and outer exile reveal “many similarities and shared concerns and a common belief in the potential of writing to provide solace and lend meaning to existence in the most uncertain of times and troubled circumstances” (2).</w:t>
      </w:r>
    </w:p>
    <w:p w14:paraId="3E1766BE" w14:textId="34962EE5" w:rsidR="00160D79" w:rsidRDefault="00224D70">
      <w:pPr>
        <w:spacing w:line="480" w:lineRule="auto"/>
        <w:jc w:val="both"/>
        <w:rPr>
          <w:rFonts w:ascii="Times New Roman" w:hAnsi="Times New Roman" w:cs="Times New Roman"/>
          <w:sz w:val="24"/>
          <w:szCs w:val="24"/>
        </w:rPr>
      </w:pPr>
      <w:r>
        <w:rPr>
          <w:rFonts w:ascii="Times New Roman" w:hAnsi="Times New Roman" w:cs="Times New Roman"/>
          <w:sz w:val="24"/>
        </w:rPr>
        <w:t>Another characteristic of contemporary migration literature is its insistence on return as a form of exile. J</w:t>
      </w:r>
      <w:r>
        <w:rPr>
          <w:rFonts w:ascii="Times New Roman" w:hAnsi="Times New Roman" w:cs="Times New Roman"/>
          <w:sz w:val="24"/>
          <w:szCs w:val="24"/>
        </w:rPr>
        <w:t xml:space="preserve">ohn </w:t>
      </w:r>
      <w:r w:rsidRPr="00155999">
        <w:rPr>
          <w:rFonts w:ascii="Times New Roman" w:hAnsi="Times New Roman" w:cs="Times New Roman"/>
          <w:sz w:val="24"/>
          <w:szCs w:val="24"/>
        </w:rPr>
        <w:t>Durham Peters</w:t>
      </w:r>
      <w:r>
        <w:rPr>
          <w:rFonts w:ascii="Times New Roman" w:hAnsi="Times New Roman" w:cs="Times New Roman"/>
          <w:sz w:val="24"/>
          <w:szCs w:val="24"/>
        </w:rPr>
        <w:t xml:space="preserve"> argues that the homeland, for exiled communities, is “distant and for the time being unapproachable” (31). He adds that “home becomes an impossible object, always receding with the horizon” (31), thus implying that exiled people are not able to return home. In contrast, Paolo </w:t>
      </w:r>
      <w:r w:rsidRPr="00006F3C">
        <w:rPr>
          <w:rFonts w:ascii="Times New Roman" w:hAnsi="Times New Roman" w:cs="Times New Roman"/>
          <w:sz w:val="24"/>
          <w:szCs w:val="24"/>
        </w:rPr>
        <w:t>Bartoloni</w:t>
      </w:r>
      <w:r>
        <w:rPr>
          <w:rFonts w:ascii="Times New Roman" w:hAnsi="Times New Roman" w:cs="Times New Roman"/>
          <w:sz w:val="24"/>
          <w:szCs w:val="24"/>
        </w:rPr>
        <w:t xml:space="preserve"> proposes that the longer an individual spends time away from their native land, and the further away in distance they are, the greater the sense of nostalgia for their former life and their desire to return (103). </w:t>
      </w:r>
      <w:r w:rsidRPr="0073220A">
        <w:rPr>
          <w:rFonts w:ascii="Times New Roman" w:hAnsi="Times New Roman" w:cs="Times New Roman"/>
          <w:sz w:val="24"/>
          <w:szCs w:val="24"/>
        </w:rPr>
        <w:t xml:space="preserve">Svetlana Boym defines nostalgia </w:t>
      </w:r>
      <w:r>
        <w:rPr>
          <w:rFonts w:ascii="Times New Roman" w:hAnsi="Times New Roman" w:cs="Times New Roman"/>
          <w:sz w:val="24"/>
          <w:szCs w:val="24"/>
        </w:rPr>
        <w:t xml:space="preserve">as an idealization of the past and the “mourning for the impossibility of mythical return, for the loss of an enchanted world with clear borders and values” (8). </w:t>
      </w:r>
      <w:r w:rsidR="00DA250E">
        <w:rPr>
          <w:rFonts w:ascii="Times New Roman" w:hAnsi="Times New Roman" w:cs="Times New Roman"/>
          <w:sz w:val="24"/>
          <w:szCs w:val="24"/>
        </w:rPr>
        <w:t>Boym distinguishes between restorative nostalgia</w:t>
      </w:r>
      <w:r w:rsidR="00505B02">
        <w:rPr>
          <w:rFonts w:ascii="Times New Roman" w:hAnsi="Times New Roman" w:cs="Times New Roman"/>
          <w:sz w:val="24"/>
          <w:szCs w:val="24"/>
        </w:rPr>
        <w:t xml:space="preserve">, which </w:t>
      </w:r>
      <w:r w:rsidR="00281300">
        <w:rPr>
          <w:rFonts w:ascii="Times New Roman" w:hAnsi="Times New Roman" w:cs="Times New Roman"/>
          <w:sz w:val="24"/>
          <w:szCs w:val="24"/>
        </w:rPr>
        <w:t xml:space="preserve">“proposes to rebuild the lost home”, and </w:t>
      </w:r>
      <w:r w:rsidR="00AA4C0C">
        <w:rPr>
          <w:rFonts w:ascii="Times New Roman" w:hAnsi="Times New Roman" w:cs="Times New Roman"/>
          <w:sz w:val="24"/>
          <w:szCs w:val="24"/>
        </w:rPr>
        <w:t xml:space="preserve">reflective nostalgia, </w:t>
      </w:r>
      <w:r w:rsidR="00AD505F">
        <w:rPr>
          <w:rFonts w:ascii="Times New Roman" w:hAnsi="Times New Roman" w:cs="Times New Roman"/>
          <w:sz w:val="24"/>
          <w:szCs w:val="24"/>
        </w:rPr>
        <w:t>which “dwells […] in longing and loss” (</w:t>
      </w:r>
      <w:r w:rsidR="0073220A">
        <w:rPr>
          <w:rFonts w:ascii="Times New Roman" w:hAnsi="Times New Roman" w:cs="Times New Roman"/>
          <w:sz w:val="24"/>
          <w:szCs w:val="24"/>
        </w:rPr>
        <w:t>41).</w:t>
      </w:r>
      <w:r w:rsidR="0026589F">
        <w:rPr>
          <w:rFonts w:ascii="Times New Roman" w:hAnsi="Times New Roman" w:cs="Times New Roman"/>
          <w:sz w:val="24"/>
          <w:szCs w:val="24"/>
        </w:rPr>
        <w:t xml:space="preserve"> </w:t>
      </w:r>
      <w:r>
        <w:rPr>
          <w:rFonts w:ascii="Times New Roman" w:hAnsi="Times New Roman" w:cs="Times New Roman"/>
          <w:sz w:val="24"/>
          <w:szCs w:val="24"/>
        </w:rPr>
        <w:t>Migration narratives demonstrate that a return is desired by many exiles precisely because they have idealized their past and dream of</w:t>
      </w:r>
      <w:r w:rsidR="00EF43E2">
        <w:rPr>
          <w:rFonts w:ascii="Times New Roman" w:hAnsi="Times New Roman" w:cs="Times New Roman"/>
          <w:sz w:val="24"/>
          <w:szCs w:val="24"/>
        </w:rPr>
        <w:t xml:space="preserve"> “rebuilding the </w:t>
      </w:r>
      <w:r w:rsidR="00EF43E2">
        <w:rPr>
          <w:rFonts w:ascii="Times New Roman" w:hAnsi="Times New Roman" w:cs="Times New Roman"/>
          <w:sz w:val="24"/>
          <w:szCs w:val="24"/>
        </w:rPr>
        <w:lastRenderedPageBreak/>
        <w:t>lost home”</w:t>
      </w:r>
      <w:r w:rsidR="000E258A">
        <w:rPr>
          <w:rFonts w:ascii="Times New Roman" w:hAnsi="Times New Roman" w:cs="Times New Roman"/>
          <w:sz w:val="24"/>
          <w:szCs w:val="24"/>
        </w:rPr>
        <w:t>, evoking Boym’s notion of restorative nostalgia.</w:t>
      </w:r>
      <w:r>
        <w:rPr>
          <w:rFonts w:ascii="Times New Roman" w:hAnsi="Times New Roman" w:cs="Times New Roman"/>
          <w:sz w:val="24"/>
          <w:szCs w:val="24"/>
        </w:rPr>
        <w:t xml:space="preserve"> However, when they do go back to their native land, they often experience what Gerise </w:t>
      </w:r>
      <w:r w:rsidRPr="00985958">
        <w:rPr>
          <w:rFonts w:ascii="Times New Roman" w:hAnsi="Times New Roman" w:cs="Times New Roman"/>
          <w:sz w:val="24"/>
          <w:szCs w:val="24"/>
        </w:rPr>
        <w:t>Herndon</w:t>
      </w:r>
      <w:r>
        <w:rPr>
          <w:rFonts w:ascii="Times New Roman" w:hAnsi="Times New Roman" w:cs="Times New Roman"/>
          <w:sz w:val="24"/>
          <w:szCs w:val="24"/>
        </w:rPr>
        <w:t xml:space="preserve"> describes as “a recasting of identity, a double exile” (54); the homeland has become a “remembered and then imagined community” during the absence (54), but the returnee is disappointed to find that this imagined homeland does not correspond to reality. As migration narratives show, this return is inflected by categories such as class, race, gender, age, and geographic location. Return is particularly difficult for writers returning to former colonies because they are confronted with the disappointments of independence and the neo-colonial relationships that govern daily realities. These difficulties are seen clearly in Francophone African writing. In the autobiographical </w:t>
      </w:r>
      <w:r>
        <w:rPr>
          <w:rFonts w:ascii="Times New Roman" w:hAnsi="Times New Roman" w:cs="Times New Roman"/>
          <w:i/>
          <w:sz w:val="24"/>
          <w:szCs w:val="24"/>
        </w:rPr>
        <w:t xml:space="preserve">Lumières de Pointe-Noire </w:t>
      </w:r>
      <w:r>
        <w:rPr>
          <w:rFonts w:ascii="Times New Roman" w:hAnsi="Times New Roman" w:cs="Times New Roman"/>
          <w:sz w:val="24"/>
          <w:szCs w:val="24"/>
        </w:rPr>
        <w:t xml:space="preserve">(2013), Alain </w:t>
      </w:r>
      <w:r w:rsidRPr="003A6161">
        <w:rPr>
          <w:rFonts w:ascii="Times New Roman" w:hAnsi="Times New Roman" w:cs="Times New Roman"/>
          <w:sz w:val="24"/>
          <w:szCs w:val="24"/>
        </w:rPr>
        <w:t>Mabanckou</w:t>
      </w:r>
      <w:r>
        <w:rPr>
          <w:rFonts w:ascii="Times New Roman" w:hAnsi="Times New Roman" w:cs="Times New Roman"/>
          <w:sz w:val="24"/>
          <w:szCs w:val="24"/>
        </w:rPr>
        <w:t xml:space="preserve"> returns to Republic of the Congo from France for the first time in 23 years, and while he remembers his happy childhood with nostalgic fondness, he is constantly reminded of his financial privilege and success in comparison with his Congolese family. Political turmoil in the country of origin complicates return further. In the autobiographically-inspired </w:t>
      </w:r>
      <w:r>
        <w:rPr>
          <w:rFonts w:ascii="Times New Roman" w:hAnsi="Times New Roman" w:cs="Times New Roman"/>
          <w:i/>
          <w:sz w:val="24"/>
          <w:szCs w:val="24"/>
        </w:rPr>
        <w:t xml:space="preserve">L’Enigme du retour </w:t>
      </w:r>
      <w:r>
        <w:rPr>
          <w:rFonts w:ascii="Times New Roman" w:hAnsi="Times New Roman" w:cs="Times New Roman"/>
          <w:sz w:val="24"/>
          <w:szCs w:val="24"/>
        </w:rPr>
        <w:t xml:space="preserve">(2009), </w:t>
      </w:r>
      <w:r w:rsidRPr="003A6161">
        <w:rPr>
          <w:rFonts w:ascii="Times New Roman" w:hAnsi="Times New Roman" w:cs="Times New Roman"/>
          <w:sz w:val="24"/>
          <w:szCs w:val="24"/>
        </w:rPr>
        <w:t>Dany Laferrière</w:t>
      </w:r>
      <w:r>
        <w:rPr>
          <w:rFonts w:ascii="Times New Roman" w:hAnsi="Times New Roman" w:cs="Times New Roman"/>
          <w:sz w:val="24"/>
          <w:szCs w:val="24"/>
        </w:rPr>
        <w:t xml:space="preserve"> narrates the ordeals of a man who feels compelled to return to Haïti, his place of birth, from Canada where he now lives, following the death of his father in New York. In Port-au-Prince he is constantly reminded of the chaos and misery caused by decades of political instability, and his return to the countryside is no less difficult because it represents a “neglected and mistreated land”, even though it also “offers hope for common and personal salvation” (</w:t>
      </w:r>
      <w:r w:rsidRPr="003A6161">
        <w:rPr>
          <w:rFonts w:ascii="Times New Roman" w:hAnsi="Times New Roman" w:cs="Times New Roman"/>
          <w:sz w:val="24"/>
          <w:szCs w:val="24"/>
        </w:rPr>
        <w:t>Munro 101</w:t>
      </w:r>
      <w:r>
        <w:rPr>
          <w:rFonts w:ascii="Times New Roman" w:hAnsi="Times New Roman" w:cs="Times New Roman"/>
          <w:sz w:val="24"/>
          <w:szCs w:val="24"/>
        </w:rPr>
        <w:t xml:space="preserve">). Female returnees often encounter different gender dynamics in their country of birth to their host country, aggravating their sense of exile further. This is the case for Nina, the autofictional narrator of Véronique </w:t>
      </w:r>
      <w:r w:rsidRPr="003A6161">
        <w:rPr>
          <w:rFonts w:ascii="Times New Roman" w:hAnsi="Times New Roman" w:cs="Times New Roman"/>
          <w:sz w:val="24"/>
          <w:szCs w:val="24"/>
        </w:rPr>
        <w:t>Tadjo’s</w:t>
      </w:r>
      <w:r>
        <w:rPr>
          <w:rFonts w:ascii="Times New Roman" w:hAnsi="Times New Roman" w:cs="Times New Roman"/>
          <w:sz w:val="24"/>
          <w:szCs w:val="24"/>
        </w:rPr>
        <w:t xml:space="preserve"> </w:t>
      </w:r>
      <w:r>
        <w:rPr>
          <w:rFonts w:ascii="Times New Roman" w:hAnsi="Times New Roman" w:cs="Times New Roman"/>
          <w:i/>
          <w:sz w:val="24"/>
          <w:szCs w:val="24"/>
        </w:rPr>
        <w:t xml:space="preserve">Loin de mon père </w:t>
      </w:r>
      <w:r>
        <w:rPr>
          <w:rFonts w:ascii="Times New Roman" w:hAnsi="Times New Roman" w:cs="Times New Roman"/>
          <w:sz w:val="24"/>
          <w:szCs w:val="24"/>
        </w:rPr>
        <w:t>(2010)</w:t>
      </w:r>
      <w:r>
        <w:rPr>
          <w:rFonts w:ascii="Times New Roman" w:hAnsi="Times New Roman" w:cs="Times New Roman"/>
          <w:i/>
          <w:sz w:val="24"/>
          <w:szCs w:val="24"/>
        </w:rPr>
        <w:t xml:space="preserve"> </w:t>
      </w:r>
      <w:r>
        <w:rPr>
          <w:rFonts w:ascii="Times New Roman" w:hAnsi="Times New Roman" w:cs="Times New Roman"/>
          <w:iCs/>
          <w:sz w:val="24"/>
          <w:szCs w:val="24"/>
        </w:rPr>
        <w:t>who,</w:t>
      </w:r>
      <w:r>
        <w:rPr>
          <w:rFonts w:ascii="Times New Roman" w:hAnsi="Times New Roman" w:cs="Times New Roman"/>
          <w:i/>
          <w:sz w:val="24"/>
          <w:szCs w:val="24"/>
        </w:rPr>
        <w:t xml:space="preserve"> </w:t>
      </w:r>
      <w:r>
        <w:rPr>
          <w:rFonts w:ascii="Times New Roman" w:hAnsi="Times New Roman" w:cs="Times New Roman"/>
          <w:sz w:val="24"/>
          <w:szCs w:val="24"/>
        </w:rPr>
        <w:t>on her return to Côte d’Ivoire, is shocked by open displays of patriarchy, such as when she is treated with condescension by the male passport officer at the airport in Abidjan, which adds to her sensation of non-belonging.</w:t>
      </w:r>
    </w:p>
    <w:p w14:paraId="777718E9" w14:textId="3C00CDD3" w:rsidR="006F008E" w:rsidRDefault="00224D7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Recent examples of migration literature thus continue to conceive of exile as a geographical displacement, thus maintaining the approach of theoretical work on exile from the twentieth century. Where these theoretical and literary works differ is in their interpretation of the causes of exile and the consequences it may have on different groups of people, such as women. Exile has not only been theorized, though, as a physical movement. </w:t>
      </w:r>
      <w:r w:rsidRPr="00F16E67">
        <w:rPr>
          <w:rFonts w:ascii="Times New Roman" w:hAnsi="Times New Roman" w:cs="Times New Roman"/>
          <w:sz w:val="24"/>
          <w:szCs w:val="24"/>
        </w:rPr>
        <w:t>As the following section will show,</w:t>
      </w:r>
      <w:r w:rsidR="00F52EB8">
        <w:rPr>
          <w:rFonts w:ascii="Times New Roman" w:hAnsi="Times New Roman" w:cs="Times New Roman"/>
          <w:sz w:val="24"/>
          <w:szCs w:val="24"/>
        </w:rPr>
        <w:t xml:space="preserve"> recent migration literature has developed </w:t>
      </w:r>
      <w:r w:rsidR="000D5BF7">
        <w:rPr>
          <w:rFonts w:ascii="Times New Roman" w:hAnsi="Times New Roman" w:cs="Times New Roman"/>
          <w:sz w:val="24"/>
          <w:szCs w:val="24"/>
        </w:rPr>
        <w:t xml:space="preserve">early </w:t>
      </w:r>
      <w:r w:rsidR="00F52EB8">
        <w:rPr>
          <w:rFonts w:ascii="Times New Roman" w:hAnsi="Times New Roman" w:cs="Times New Roman"/>
          <w:sz w:val="24"/>
          <w:szCs w:val="24"/>
        </w:rPr>
        <w:t>postcolonial thinking which conceives of exile as a metaphor for cu</w:t>
      </w:r>
      <w:r w:rsidR="000D5BF7">
        <w:rPr>
          <w:rFonts w:ascii="Times New Roman" w:hAnsi="Times New Roman" w:cs="Times New Roman"/>
          <w:sz w:val="24"/>
          <w:szCs w:val="24"/>
        </w:rPr>
        <w:t>ltural, gendered, and linguistic otherness.</w:t>
      </w:r>
    </w:p>
    <w:p w14:paraId="3D7C9F46" w14:textId="4273C313" w:rsidR="00160D79" w:rsidRDefault="00160D79">
      <w:pPr>
        <w:spacing w:line="480" w:lineRule="auto"/>
        <w:jc w:val="both"/>
        <w:rPr>
          <w:rFonts w:ascii="Times New Roman" w:hAnsi="Times New Roman" w:cs="Times New Roman"/>
          <w:sz w:val="24"/>
          <w:szCs w:val="24"/>
        </w:rPr>
      </w:pPr>
    </w:p>
    <w:p w14:paraId="70F71F49" w14:textId="0EAC261E" w:rsidR="00160D79" w:rsidRDefault="0029300D">
      <w:pPr>
        <w:spacing w:line="480" w:lineRule="auto"/>
        <w:jc w:val="both"/>
        <w:rPr>
          <w:rFonts w:ascii="Times New Roman" w:hAnsi="Times New Roman" w:cs="Times New Roman"/>
          <w:b/>
          <w:sz w:val="24"/>
          <w:szCs w:val="24"/>
        </w:rPr>
      </w:pPr>
      <w:r>
        <w:rPr>
          <w:rFonts w:ascii="Times New Roman" w:hAnsi="Times New Roman" w:cs="Times New Roman"/>
          <w:b/>
          <w:sz w:val="24"/>
          <w:szCs w:val="24"/>
        </w:rPr>
        <w:t>Revisiting Exile as a Metaphorical Condition</w:t>
      </w:r>
    </w:p>
    <w:p w14:paraId="4525D4CD" w14:textId="54985EE3" w:rsidR="00160D79" w:rsidRDefault="00224D70">
      <w:pPr>
        <w:spacing w:line="480" w:lineRule="auto"/>
        <w:jc w:val="both"/>
        <w:rPr>
          <w:rFonts w:ascii="Times New Roman" w:hAnsi="Times New Roman" w:cs="Times New Roman"/>
          <w:sz w:val="24"/>
        </w:rPr>
      </w:pPr>
      <w:r>
        <w:rPr>
          <w:rFonts w:ascii="Times New Roman" w:hAnsi="Times New Roman" w:cs="Times New Roman"/>
          <w:sz w:val="24"/>
          <w:szCs w:val="24"/>
        </w:rPr>
        <w:t xml:space="preserve">As a metaphor, exile, “viscerally, is difference, otherness” which engenders sentiments of alienation, rejection, and loss </w:t>
      </w:r>
      <w:r w:rsidRPr="003A6161">
        <w:rPr>
          <w:rFonts w:ascii="Times New Roman" w:hAnsi="Times New Roman" w:cs="Times New Roman"/>
          <w:sz w:val="24"/>
          <w:szCs w:val="24"/>
        </w:rPr>
        <w:t>(Bevan</w:t>
      </w:r>
      <w:r>
        <w:rPr>
          <w:rFonts w:ascii="Times New Roman" w:hAnsi="Times New Roman" w:cs="Times New Roman"/>
          <w:sz w:val="24"/>
          <w:szCs w:val="24"/>
        </w:rPr>
        <w:t xml:space="preserve"> 3). Said picks up on this metaphorical conception of exile in </w:t>
      </w:r>
      <w:r>
        <w:rPr>
          <w:rFonts w:ascii="Times New Roman" w:hAnsi="Times New Roman" w:cs="Times New Roman"/>
          <w:i/>
          <w:sz w:val="24"/>
          <w:szCs w:val="24"/>
        </w:rPr>
        <w:t>Out of Place</w:t>
      </w:r>
      <w:r>
        <w:rPr>
          <w:rFonts w:ascii="Times New Roman" w:hAnsi="Times New Roman" w:cs="Times New Roman"/>
          <w:sz w:val="24"/>
          <w:szCs w:val="24"/>
        </w:rPr>
        <w:t xml:space="preserve">. He explains how his geographical exile – he was born in Jerusalem to parents who were Palestinian Christians and spent his childhood in Egypt before moving to the United States for his university studies – led to an “overriding sensation” of “always being out of place” (3). This was unsettling for him but it also enabled him to develop as an intellectual because it gave him a critical perspective on at least two different cultures. For Said, exile is a space of mental refuge which allows individuals to question and interrogate culture and society and gain </w:t>
      </w:r>
      <w:r>
        <w:rPr>
          <w:rFonts w:ascii="Times New Roman" w:hAnsi="Times New Roman" w:cs="Times New Roman"/>
          <w:sz w:val="24"/>
        </w:rPr>
        <w:t xml:space="preserve">an independence of mind. Homi </w:t>
      </w:r>
      <w:r w:rsidRPr="003A6161">
        <w:rPr>
          <w:rFonts w:ascii="Times New Roman" w:hAnsi="Times New Roman" w:cs="Times New Roman"/>
          <w:sz w:val="24"/>
        </w:rPr>
        <w:t>Bhabha,</w:t>
      </w:r>
      <w:r>
        <w:rPr>
          <w:rFonts w:ascii="Times New Roman" w:hAnsi="Times New Roman" w:cs="Times New Roman"/>
          <w:sz w:val="24"/>
        </w:rPr>
        <w:t xml:space="preserve"> meanwhile, argues that living in exile and being separated from the homeland can be enriching because it forces an individual to develop a hybrid identity which undermines the binary opposition between self and other (54-55), a view long been criticized by Benita </w:t>
      </w:r>
      <w:r w:rsidRPr="003A6161">
        <w:rPr>
          <w:rFonts w:ascii="Times New Roman" w:hAnsi="Times New Roman" w:cs="Times New Roman"/>
          <w:sz w:val="24"/>
        </w:rPr>
        <w:t>Parry</w:t>
      </w:r>
      <w:r w:rsidR="00D86687">
        <w:rPr>
          <w:rFonts w:ascii="Times New Roman" w:hAnsi="Times New Roman" w:cs="Times New Roman"/>
          <w:sz w:val="24"/>
        </w:rPr>
        <w:t xml:space="preserve"> </w:t>
      </w:r>
      <w:r w:rsidR="00F51075">
        <w:rPr>
          <w:rFonts w:ascii="Times New Roman" w:hAnsi="Times New Roman" w:cs="Times New Roman"/>
          <w:sz w:val="24"/>
        </w:rPr>
        <w:t>and Katharyne Mitchell</w:t>
      </w:r>
      <w:r>
        <w:rPr>
          <w:rFonts w:ascii="Times New Roman" w:hAnsi="Times New Roman" w:cs="Times New Roman"/>
          <w:sz w:val="24"/>
        </w:rPr>
        <w:t xml:space="preserve"> for neglecting the power imbalances and hierarchies involved in this hybridity. In some examples of migration literature, exile does empower the protagonists to a certain extent and gives them a space for creative and intellectual thinking. For example, in </w:t>
      </w:r>
      <w:r w:rsidRPr="003A6161">
        <w:rPr>
          <w:rFonts w:ascii="Times New Roman" w:hAnsi="Times New Roman" w:cs="Times New Roman"/>
          <w:sz w:val="24"/>
        </w:rPr>
        <w:t>Adichie’s</w:t>
      </w:r>
      <w:r>
        <w:rPr>
          <w:rFonts w:ascii="Times New Roman" w:hAnsi="Times New Roman" w:cs="Times New Roman"/>
          <w:sz w:val="24"/>
        </w:rPr>
        <w:t xml:space="preserve"> </w:t>
      </w:r>
      <w:r>
        <w:rPr>
          <w:rFonts w:ascii="Times New Roman" w:hAnsi="Times New Roman" w:cs="Times New Roman"/>
          <w:i/>
          <w:sz w:val="24"/>
        </w:rPr>
        <w:t xml:space="preserve">Americanah </w:t>
      </w:r>
      <w:r>
        <w:rPr>
          <w:rFonts w:ascii="Times New Roman" w:hAnsi="Times New Roman" w:cs="Times New Roman"/>
          <w:sz w:val="24"/>
        </w:rPr>
        <w:t xml:space="preserve">(2013), moving to the United </w:t>
      </w:r>
      <w:r>
        <w:rPr>
          <w:rFonts w:ascii="Times New Roman" w:hAnsi="Times New Roman" w:cs="Times New Roman"/>
          <w:sz w:val="24"/>
        </w:rPr>
        <w:lastRenderedPageBreak/>
        <w:t xml:space="preserve">States from Nigeria gives protagonist Ifemelu another perspective on life, even if she is also confronted with racism there. She writes to her old boyfriend Obinze that “the best thing about America is that it gives you space. […] I like that you buy into the dream […] and that’s all that matters” (492). Other characters do not have the same experience of exile, however. Obinze is not even able to join her in the United States as he is denied a visa, and he becomes an undocumented immigrant in London after his British visa expires. </w:t>
      </w:r>
    </w:p>
    <w:p w14:paraId="53214BA4" w14:textId="18EC33DC"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Other theorists acknowledge that metaphorical exile is not always experienced in a positive manner. For example, </w:t>
      </w:r>
      <w:r w:rsidRPr="003A6161">
        <w:rPr>
          <w:rFonts w:ascii="Times New Roman" w:hAnsi="Times New Roman" w:cs="Times New Roman"/>
          <w:sz w:val="24"/>
        </w:rPr>
        <w:t>Kristeva</w:t>
      </w:r>
      <w:r>
        <w:rPr>
          <w:rFonts w:ascii="Times New Roman" w:hAnsi="Times New Roman" w:cs="Times New Roman"/>
          <w:sz w:val="24"/>
        </w:rPr>
        <w:t xml:space="preserve"> talks of the gendered experiences of exile undergone by women writers in “A New Type of Intellectual: The Dissident”. In this essay, Kristeva writes of the triple exile of female writers and thinkers who are exiled geographically and metaphorically. She argues that their female gender is a cause of this sense of alienation, positing that “a woman is trapped within the frontiers of her body and even of her species, and consequently always feels exiled both by the general clichés that make up a common consensus, and by the very powers of generalization intrinsic to language” (296). The third layer of women’s exile is the condition of writing which uproots writers from reality and draws them into a different temporal and spatial framework of the imagination. </w:t>
      </w:r>
      <w:r w:rsidRPr="003A6161">
        <w:rPr>
          <w:rFonts w:ascii="Times New Roman" w:hAnsi="Times New Roman" w:cs="Times New Roman"/>
          <w:sz w:val="24"/>
        </w:rPr>
        <w:t>Kristeva</w:t>
      </w:r>
      <w:r>
        <w:rPr>
          <w:rFonts w:ascii="Times New Roman" w:hAnsi="Times New Roman" w:cs="Times New Roman"/>
          <w:sz w:val="24"/>
        </w:rPr>
        <w:t xml:space="preserve"> writes: “writing is impossible without some kind of exile” (298). Examples of this gender-based metaphorical exile include Guadeloupean novelist Gisèle </w:t>
      </w:r>
      <w:r w:rsidRPr="003A6161">
        <w:rPr>
          <w:rFonts w:ascii="Times New Roman" w:hAnsi="Times New Roman" w:cs="Times New Roman"/>
          <w:sz w:val="24"/>
        </w:rPr>
        <w:t>Pineau’s</w:t>
      </w:r>
      <w:r>
        <w:rPr>
          <w:rFonts w:ascii="Times New Roman" w:hAnsi="Times New Roman" w:cs="Times New Roman"/>
          <w:sz w:val="24"/>
        </w:rPr>
        <w:t xml:space="preserve"> </w:t>
      </w:r>
      <w:r>
        <w:rPr>
          <w:rFonts w:ascii="Times New Roman" w:hAnsi="Times New Roman" w:cs="Times New Roman"/>
          <w:i/>
          <w:iCs/>
          <w:sz w:val="24"/>
        </w:rPr>
        <w:t>L’Exil selon Julia</w:t>
      </w:r>
      <w:r>
        <w:rPr>
          <w:rFonts w:ascii="Times New Roman" w:hAnsi="Times New Roman" w:cs="Times New Roman"/>
          <w:sz w:val="24"/>
        </w:rPr>
        <w:t xml:space="preserve"> (1996) [</w:t>
      </w:r>
      <w:r>
        <w:rPr>
          <w:rFonts w:ascii="Times New Roman" w:hAnsi="Times New Roman" w:cs="Times New Roman"/>
          <w:i/>
          <w:iCs/>
          <w:sz w:val="24"/>
        </w:rPr>
        <w:t>Exile according to Julia</w:t>
      </w:r>
      <w:r>
        <w:rPr>
          <w:rFonts w:ascii="Times New Roman" w:hAnsi="Times New Roman" w:cs="Times New Roman"/>
          <w:sz w:val="24"/>
        </w:rPr>
        <w:t xml:space="preserve">], a text which explores themes of female solitude and loneliness for different generations of a Guadeloupean family living in mainland France, and Madagascan novelist Michèle </w:t>
      </w:r>
      <w:r w:rsidRPr="003A6161">
        <w:rPr>
          <w:rFonts w:ascii="Times New Roman" w:hAnsi="Times New Roman" w:cs="Times New Roman"/>
          <w:sz w:val="24"/>
        </w:rPr>
        <w:t>Rakotoson’s</w:t>
      </w:r>
      <w:r>
        <w:rPr>
          <w:rFonts w:ascii="Times New Roman" w:hAnsi="Times New Roman" w:cs="Times New Roman"/>
          <w:sz w:val="24"/>
        </w:rPr>
        <w:t xml:space="preserve"> </w:t>
      </w:r>
      <w:r>
        <w:rPr>
          <w:rFonts w:ascii="Times New Roman" w:hAnsi="Times New Roman" w:cs="Times New Roman"/>
          <w:i/>
          <w:iCs/>
          <w:sz w:val="24"/>
        </w:rPr>
        <w:t>Juillet au pays</w:t>
      </w:r>
      <w:r>
        <w:rPr>
          <w:rFonts w:ascii="Times New Roman" w:hAnsi="Times New Roman" w:cs="Times New Roman"/>
          <w:sz w:val="24"/>
        </w:rPr>
        <w:t xml:space="preserve"> (2007) [</w:t>
      </w:r>
      <w:r>
        <w:rPr>
          <w:rFonts w:ascii="Times New Roman" w:hAnsi="Times New Roman" w:cs="Times New Roman"/>
          <w:i/>
          <w:iCs/>
          <w:sz w:val="24"/>
        </w:rPr>
        <w:t>July at Home</w:t>
      </w:r>
      <w:r>
        <w:rPr>
          <w:rFonts w:ascii="Times New Roman" w:hAnsi="Times New Roman" w:cs="Times New Roman"/>
          <w:sz w:val="24"/>
        </w:rPr>
        <w:t xml:space="preserve">], which narrates the author-protagonist Michèle’s experiences of return to Madagascar and her confusion towards imposed gender norms there. Moreover, metaphorical exile is felt on an additional level by queer women exiles, as Franco-Algerian writer Nina </w:t>
      </w:r>
      <w:r w:rsidRPr="003A6161">
        <w:rPr>
          <w:rFonts w:ascii="Times New Roman" w:hAnsi="Times New Roman" w:cs="Times New Roman"/>
          <w:sz w:val="24"/>
        </w:rPr>
        <w:t>Bouraoui</w:t>
      </w:r>
      <w:r>
        <w:rPr>
          <w:rFonts w:ascii="Times New Roman" w:hAnsi="Times New Roman" w:cs="Times New Roman"/>
          <w:sz w:val="24"/>
        </w:rPr>
        <w:t xml:space="preserve"> explores in her autofictional narrative </w:t>
      </w:r>
      <w:r>
        <w:rPr>
          <w:rFonts w:ascii="Times New Roman" w:hAnsi="Times New Roman" w:cs="Times New Roman"/>
          <w:i/>
          <w:sz w:val="24"/>
        </w:rPr>
        <w:t xml:space="preserve">Garçon manqué </w:t>
      </w:r>
      <w:r>
        <w:rPr>
          <w:rFonts w:ascii="Times New Roman" w:hAnsi="Times New Roman" w:cs="Times New Roman"/>
          <w:sz w:val="24"/>
        </w:rPr>
        <w:t>(2000)</w:t>
      </w:r>
      <w:r w:rsidR="00661E41">
        <w:rPr>
          <w:rFonts w:ascii="Times New Roman" w:hAnsi="Times New Roman" w:cs="Times New Roman"/>
          <w:sz w:val="24"/>
        </w:rPr>
        <w:t xml:space="preserve"> [</w:t>
      </w:r>
      <w:r w:rsidR="00661E41" w:rsidRPr="00661E41">
        <w:rPr>
          <w:rFonts w:ascii="Times New Roman" w:hAnsi="Times New Roman" w:cs="Times New Roman"/>
          <w:i/>
          <w:iCs/>
          <w:sz w:val="24"/>
        </w:rPr>
        <w:t>Tomboy</w:t>
      </w:r>
      <w:r w:rsidR="00661E41">
        <w:rPr>
          <w:rFonts w:ascii="Times New Roman" w:hAnsi="Times New Roman" w:cs="Times New Roman"/>
          <w:sz w:val="24"/>
        </w:rPr>
        <w:t>]</w:t>
      </w:r>
      <w:r>
        <w:rPr>
          <w:rFonts w:ascii="Times New Roman" w:hAnsi="Times New Roman" w:cs="Times New Roman"/>
          <w:sz w:val="24"/>
        </w:rPr>
        <w:t xml:space="preserve">. For her literary heroine Nina, geographical exile between Algeria and France </w:t>
      </w:r>
      <w:r>
        <w:rPr>
          <w:rFonts w:ascii="Times New Roman" w:hAnsi="Times New Roman" w:cs="Times New Roman"/>
          <w:sz w:val="24"/>
        </w:rPr>
        <w:lastRenderedPageBreak/>
        <w:t xml:space="preserve">intersects with her gendered and queer identities which makes her feel as though she does not belong anywhere. Exile is thus a useful concept for examining experiences related to gender and sexuality when it is considered in metaphorical terms. </w:t>
      </w:r>
    </w:p>
    <w:p w14:paraId="5834CAB3" w14:textId="6AC76752"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The metaphor of exile has also been employed to refer to the difficulties of having to learn a new language and cultural code on arrival in a new country. Madelaine </w:t>
      </w:r>
      <w:r w:rsidRPr="003E0D5D">
        <w:rPr>
          <w:rFonts w:ascii="Times New Roman" w:hAnsi="Times New Roman" w:cs="Times New Roman"/>
          <w:sz w:val="24"/>
        </w:rPr>
        <w:t>Hron</w:t>
      </w:r>
      <w:r>
        <w:rPr>
          <w:rFonts w:ascii="Times New Roman" w:hAnsi="Times New Roman" w:cs="Times New Roman"/>
          <w:sz w:val="24"/>
        </w:rPr>
        <w:t xml:space="preserve"> reads this process of linguistic assimilation through the lens of translation. She argues that newly arrived migrants must not only translate linguistic structures from their native language to the language of the host country, but they must also “translate themselves into citizens of the host country”, adapting their cultural landmarks, values, and customs to fit those of their new home (xvi). Here, a sense of judgement is implied, because exiled individuals must meet the linguistic and cultural expectations of people living in this new environment. Japanese novelist Minae </w:t>
      </w:r>
      <w:bookmarkStart w:id="3" w:name="_Hlk128571685"/>
      <w:r w:rsidRPr="003A6161">
        <w:rPr>
          <w:rFonts w:ascii="Times New Roman" w:hAnsi="Times New Roman" w:cs="Times New Roman"/>
          <w:sz w:val="24"/>
        </w:rPr>
        <w:t>Mizumura</w:t>
      </w:r>
      <w:bookmarkEnd w:id="3"/>
      <w:r>
        <w:rPr>
          <w:rFonts w:ascii="Times New Roman" w:hAnsi="Times New Roman" w:cs="Times New Roman"/>
          <w:sz w:val="24"/>
        </w:rPr>
        <w:t xml:space="preserve"> has voluntarily undergone this form of linguistic exile. She was born speaking Japanese, adopted English on moving to the United States where she also learnt French, and then translated herself back to Japanese on returning to Japan to become a novelist. Her semi-autobiographical text </w:t>
      </w:r>
      <w:bookmarkStart w:id="4" w:name="_Hlk128571710"/>
      <w:r>
        <w:rPr>
          <w:rFonts w:ascii="Times New Roman" w:hAnsi="Times New Roman" w:cs="Times New Roman"/>
          <w:i/>
          <w:sz w:val="24"/>
        </w:rPr>
        <w:t>An I-Novel</w:t>
      </w:r>
      <w:r>
        <w:rPr>
          <w:rFonts w:ascii="Times New Roman" w:hAnsi="Times New Roman" w:cs="Times New Roman"/>
          <w:sz w:val="24"/>
        </w:rPr>
        <w:t xml:space="preserve"> </w:t>
      </w:r>
      <w:bookmarkEnd w:id="4"/>
      <w:r>
        <w:rPr>
          <w:rFonts w:ascii="Times New Roman" w:hAnsi="Times New Roman" w:cs="Times New Roman"/>
          <w:sz w:val="24"/>
        </w:rPr>
        <w:t xml:space="preserve">(1995) takes place on one day in the 1980s. Minae, a Japanese graduate student, reflects on her memories of living in the United States as she prepares to tell her sister she is returning to their native Japan. The text broke with Japanese literary tradition to emphasize the protagonist’s linguistic exile further; it was written from left to right, rather than vertically and from right to left, and included a significant number of English words and phrases in English rather than in the foreign-adoptive katakana script. Another writer who conceives of linguistic exile through the paradigm of translation is Polish-born </w:t>
      </w:r>
      <w:r w:rsidRPr="003A6161">
        <w:rPr>
          <w:rFonts w:ascii="Times New Roman" w:hAnsi="Times New Roman" w:cs="Times New Roman"/>
          <w:sz w:val="24"/>
        </w:rPr>
        <w:t>Hoffman</w:t>
      </w:r>
      <w:r>
        <w:rPr>
          <w:rFonts w:ascii="Times New Roman" w:hAnsi="Times New Roman" w:cs="Times New Roman"/>
          <w:sz w:val="24"/>
        </w:rPr>
        <w:t xml:space="preserve">. In her 1991 memoir </w:t>
      </w:r>
      <w:bookmarkStart w:id="5" w:name="_Hlk121748123"/>
      <w:r>
        <w:rPr>
          <w:rFonts w:ascii="Times New Roman" w:hAnsi="Times New Roman" w:cs="Times New Roman"/>
          <w:i/>
          <w:sz w:val="24"/>
        </w:rPr>
        <w:t>Lost in Translation: A Life in a New Language</w:t>
      </w:r>
      <w:bookmarkEnd w:id="5"/>
      <w:r>
        <w:rPr>
          <w:rFonts w:ascii="Times New Roman" w:hAnsi="Times New Roman" w:cs="Times New Roman"/>
          <w:sz w:val="24"/>
        </w:rPr>
        <w:t xml:space="preserve">, Hoffman describes her process of assimilation into US-American society as one of self-translation. Self-translation means translating one’s own work produced in a source language into a target language, but it also involves “the adaptation to new habits of thinking, national traditions, and linguistic </w:t>
      </w:r>
      <w:r>
        <w:rPr>
          <w:rFonts w:ascii="Times New Roman" w:hAnsi="Times New Roman" w:cs="Times New Roman"/>
          <w:sz w:val="24"/>
        </w:rPr>
        <w:lastRenderedPageBreak/>
        <w:t>conventions” (</w:t>
      </w:r>
      <w:r w:rsidRPr="00EA6192">
        <w:rPr>
          <w:rFonts w:ascii="Times New Roman" w:hAnsi="Times New Roman" w:cs="Times New Roman"/>
          <w:sz w:val="24"/>
        </w:rPr>
        <w:t>Costa and Hönes 13</w:t>
      </w:r>
      <w:r>
        <w:rPr>
          <w:rFonts w:ascii="Times New Roman" w:hAnsi="Times New Roman" w:cs="Times New Roman"/>
          <w:sz w:val="24"/>
        </w:rPr>
        <w:t>). Recalling this painful experience she underwent as a child, she writes: “Every day I learn new words, new expressions. […] The problem is that the signifier has become severed from the signified. The words I learn now don’t stand for things in the same unquestioned way they did in my native tongue” (Hoffman 106). For the young Hoffman, the severed connection between word and object is disorientating and causes her to question her internal sense of selfhood.</w:t>
      </w:r>
    </w:p>
    <w:p w14:paraId="4FFE666D" w14:textId="6B78A66F"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Disorientation is also experienced when language is enforced on exiles even if they are monolingual, as Algerian-born French philosopher Derrida illustrates in his personal writing. Unlike Hoffman who had to negotiate between Polish and English, Derrida was a monolingual French speaker. Linguistic exile for Derrida means feeling alienated from his own mother tongue of French because he does not feel French, and therefore he does not consider the language to encapsulate his identity. The opening phrase of </w:t>
      </w:r>
      <w:r>
        <w:rPr>
          <w:rFonts w:ascii="Times New Roman" w:hAnsi="Times New Roman" w:cs="Times New Roman"/>
          <w:i/>
          <w:sz w:val="24"/>
        </w:rPr>
        <w:t>Monolingualism of the Other: Or, The Prosthesis of Origin</w:t>
      </w:r>
      <w:r>
        <w:rPr>
          <w:rFonts w:ascii="Times New Roman" w:hAnsi="Times New Roman" w:cs="Times New Roman"/>
          <w:sz w:val="24"/>
        </w:rPr>
        <w:t xml:space="preserve"> (1999) explains his predicament: he writes that “I only have one language; it is not mine” (1). The only language he speaks is French, but he feels alienated from French given his personal circumstances; having been raised in Algeria as a Jew, he had his French citizenship removed in October 1940. Despite no longer having French citizenship, he was forced to speak and learn French at school in Algeria. He deplores the fact that Arabic and Berber, the native languages of a large part of the Algerian population, could only be studied as marginal, secondary languages. He describes his relationship to the French language as one of neurosis because he feels both distant to and overwhelmed by French, and this does not allow him to create deep attachments to other languages: “My attachment to the French language takes forms that I sometimes consider ‘neurotic’. I feel lost outside the French language” (56). For Derrida, linguistic exile means not having any language at all which captures his sense of self. </w:t>
      </w:r>
    </w:p>
    <w:p w14:paraId="5A99ACF2" w14:textId="525BD39A"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lastRenderedPageBreak/>
        <w:t xml:space="preserve">Such conceptualizations of metaphorical exile incorporate the experiences of people who do not necessarily leave their home but feel exiled in numerous ways. Recent developments in migration scholarship, however, have challenged this insistence on the metaphorical. Johanna </w:t>
      </w:r>
      <w:r w:rsidRPr="00EA6192">
        <w:rPr>
          <w:rFonts w:ascii="Times New Roman" w:hAnsi="Times New Roman" w:cs="Times New Roman"/>
          <w:sz w:val="24"/>
        </w:rPr>
        <w:t>Sellman</w:t>
      </w:r>
      <w:r>
        <w:rPr>
          <w:rFonts w:ascii="Times New Roman" w:hAnsi="Times New Roman" w:cs="Times New Roman"/>
          <w:sz w:val="24"/>
        </w:rPr>
        <w:t xml:space="preserve"> argues that since the 1990s, there has been an increasing body of work in Arabic and European languages which documents migration to Europe from the perspective of refugees, asylum seekers, and </w:t>
      </w:r>
      <w:r w:rsidR="00B0105F">
        <w:rPr>
          <w:rFonts w:ascii="Times New Roman" w:hAnsi="Times New Roman" w:cs="Times New Roman"/>
          <w:sz w:val="24"/>
        </w:rPr>
        <w:t>so-called “</w:t>
      </w:r>
      <w:r>
        <w:rPr>
          <w:rFonts w:ascii="Times New Roman" w:hAnsi="Times New Roman" w:cs="Times New Roman"/>
          <w:sz w:val="24"/>
        </w:rPr>
        <w:t>undocumented</w:t>
      </w:r>
      <w:r w:rsidR="00B0105F">
        <w:rPr>
          <w:rFonts w:ascii="Times New Roman" w:hAnsi="Times New Roman" w:cs="Times New Roman"/>
          <w:sz w:val="24"/>
        </w:rPr>
        <w:t>”</w:t>
      </w:r>
      <w:r>
        <w:rPr>
          <w:rFonts w:ascii="Times New Roman" w:hAnsi="Times New Roman" w:cs="Times New Roman"/>
          <w:sz w:val="24"/>
        </w:rPr>
        <w:t xml:space="preserve"> migrants. This literature – which includes texts as diverse as Hawra </w:t>
      </w:r>
      <w:r w:rsidRPr="00EA6192">
        <w:rPr>
          <w:rFonts w:ascii="Times New Roman" w:hAnsi="Times New Roman" w:cs="Times New Roman"/>
          <w:sz w:val="24"/>
        </w:rPr>
        <w:t>al-Nadawi’s</w:t>
      </w:r>
      <w:r>
        <w:rPr>
          <w:rFonts w:ascii="Times New Roman" w:hAnsi="Times New Roman" w:cs="Times New Roman"/>
          <w:sz w:val="24"/>
        </w:rPr>
        <w:t xml:space="preserve"> novel </w:t>
      </w:r>
      <w:bookmarkStart w:id="6" w:name="_Hlk128643729"/>
      <w:r>
        <w:rPr>
          <w:rFonts w:ascii="Times New Roman" w:hAnsi="Times New Roman" w:cs="Times New Roman"/>
          <w:i/>
          <w:sz w:val="24"/>
        </w:rPr>
        <w:t>Tahta Sama’ Kubinhaghin</w:t>
      </w:r>
      <w:bookmarkEnd w:id="6"/>
      <w:r>
        <w:rPr>
          <w:rFonts w:ascii="Times New Roman" w:hAnsi="Times New Roman" w:cs="Times New Roman"/>
          <w:sz w:val="24"/>
        </w:rPr>
        <w:t xml:space="preserve"> (2010) [</w:t>
      </w:r>
      <w:r>
        <w:rPr>
          <w:rFonts w:ascii="Times New Roman" w:hAnsi="Times New Roman" w:cs="Times New Roman"/>
          <w:i/>
          <w:iCs/>
          <w:sz w:val="24"/>
        </w:rPr>
        <w:t>Under the Copenhagen Sky</w:t>
      </w:r>
      <w:r>
        <w:rPr>
          <w:rFonts w:ascii="Times New Roman" w:hAnsi="Times New Roman" w:cs="Times New Roman"/>
          <w:sz w:val="24"/>
        </w:rPr>
        <w:t xml:space="preserve">] and Abbas </w:t>
      </w:r>
      <w:bookmarkStart w:id="7" w:name="_Hlk128583549"/>
      <w:r w:rsidRPr="00EA6192">
        <w:rPr>
          <w:rFonts w:ascii="Times New Roman" w:hAnsi="Times New Roman" w:cs="Times New Roman"/>
          <w:sz w:val="24"/>
        </w:rPr>
        <w:t>Kh</w:t>
      </w:r>
      <w:bookmarkEnd w:id="7"/>
      <w:r w:rsidRPr="00EA6192">
        <w:rPr>
          <w:rFonts w:ascii="Times New Roman" w:hAnsi="Times New Roman" w:cs="Times New Roman"/>
          <w:sz w:val="24"/>
        </w:rPr>
        <w:t>adir’s</w:t>
      </w:r>
      <w:r>
        <w:rPr>
          <w:rFonts w:ascii="Times New Roman" w:hAnsi="Times New Roman" w:cs="Times New Roman"/>
          <w:sz w:val="24"/>
        </w:rPr>
        <w:t xml:space="preserve"> German-language novel </w:t>
      </w:r>
      <w:bookmarkStart w:id="8" w:name="_Hlk128583584"/>
      <w:r>
        <w:rPr>
          <w:rFonts w:ascii="Times New Roman" w:hAnsi="Times New Roman" w:cs="Times New Roman"/>
          <w:i/>
          <w:sz w:val="24"/>
        </w:rPr>
        <w:t xml:space="preserve">Der falsche Inder </w:t>
      </w:r>
      <w:bookmarkEnd w:id="8"/>
      <w:r>
        <w:rPr>
          <w:rFonts w:ascii="Times New Roman" w:hAnsi="Times New Roman" w:cs="Times New Roman"/>
          <w:sz w:val="24"/>
        </w:rPr>
        <w:t>(2008) [</w:t>
      </w:r>
      <w:r>
        <w:rPr>
          <w:rFonts w:ascii="Times New Roman" w:hAnsi="Times New Roman" w:cs="Times New Roman"/>
          <w:i/>
          <w:iCs/>
          <w:sz w:val="24"/>
        </w:rPr>
        <w:t>The Village Indian</w:t>
      </w:r>
      <w:r>
        <w:rPr>
          <w:rFonts w:ascii="Times New Roman" w:hAnsi="Times New Roman" w:cs="Times New Roman"/>
          <w:sz w:val="24"/>
        </w:rPr>
        <w:t xml:space="preserve">] – deconstructs the romanticized figure of the estranged and alienated exile and draws attention to the extreme hardships experienced by people living in a country where they do not hold citizenship. In a different context, Roger </w:t>
      </w:r>
      <w:r w:rsidRPr="00D82651">
        <w:rPr>
          <w:rFonts w:ascii="Times New Roman" w:hAnsi="Times New Roman" w:cs="Times New Roman"/>
          <w:sz w:val="24"/>
        </w:rPr>
        <w:t>Bromley</w:t>
      </w:r>
      <w:r>
        <w:rPr>
          <w:rFonts w:ascii="Times New Roman" w:hAnsi="Times New Roman" w:cs="Times New Roman"/>
          <w:sz w:val="24"/>
        </w:rPr>
        <w:t xml:space="preserve"> shows how texts and films documenting forced displacement between Morocco and the EU (primarily Spain) and between Israel and Palestine seek to restore “the attempted erasure of the agency, experience, voice, and tactics of resistance from the displaced” (14). Agnes </w:t>
      </w:r>
      <w:r w:rsidRPr="00D82651">
        <w:rPr>
          <w:rFonts w:ascii="Times New Roman" w:hAnsi="Times New Roman" w:cs="Times New Roman"/>
          <w:sz w:val="24"/>
        </w:rPr>
        <w:t>Woolley</w:t>
      </w:r>
      <w:r>
        <w:rPr>
          <w:rFonts w:ascii="Times New Roman" w:hAnsi="Times New Roman" w:cs="Times New Roman"/>
          <w:sz w:val="24"/>
        </w:rPr>
        <w:t>, meanwhile, makes a case for the need to address the material circumstances of forced migration and statelessness in her analysis of literary, cinematic, and theatrical works by British writers and filmmakers or that take place in Britain, arguing that “refugees and asylum seekers are not metaphors for rootlessness, but socially situated subjects” (2). For these scholars, positing exile as a positive metaphor of creativity risks trivializing embodied experiences of forced displacement in literature.</w:t>
      </w:r>
      <w:r>
        <w:rPr>
          <w:rStyle w:val="EndnoteReference"/>
          <w:rFonts w:ascii="Times New Roman" w:hAnsi="Times New Roman" w:cs="Times New Roman"/>
          <w:sz w:val="24"/>
        </w:rPr>
        <w:endnoteReference w:id="2"/>
      </w:r>
      <w:r>
        <w:rPr>
          <w:rFonts w:ascii="Times New Roman" w:hAnsi="Times New Roman" w:cs="Times New Roman"/>
          <w:sz w:val="24"/>
        </w:rPr>
        <w:t xml:space="preserve"> Yet this chapter has shown that some contemporary writers are still engaging with the concept of metaphorical exile to deal with questions surrounding language, gender, sexuality, and race, even if, in some contexts, writers are becoming increasingly critical of this term.</w:t>
      </w:r>
    </w:p>
    <w:p w14:paraId="6401BCC1" w14:textId="77777777" w:rsidR="000D5BF7" w:rsidRDefault="000D5BF7">
      <w:pPr>
        <w:spacing w:line="480" w:lineRule="auto"/>
        <w:jc w:val="both"/>
        <w:rPr>
          <w:rFonts w:ascii="Times New Roman" w:hAnsi="Times New Roman" w:cs="Times New Roman"/>
          <w:sz w:val="24"/>
        </w:rPr>
      </w:pPr>
    </w:p>
    <w:p w14:paraId="62147F37" w14:textId="77777777" w:rsidR="000D5BF7" w:rsidRDefault="000D5BF7">
      <w:pPr>
        <w:spacing w:line="480" w:lineRule="auto"/>
        <w:jc w:val="both"/>
        <w:rPr>
          <w:rFonts w:ascii="Times New Roman" w:hAnsi="Times New Roman" w:cs="Times New Roman"/>
          <w:sz w:val="24"/>
        </w:rPr>
      </w:pPr>
    </w:p>
    <w:p w14:paraId="548CA451" w14:textId="77777777" w:rsidR="00160D79" w:rsidRDefault="00224D70">
      <w:pPr>
        <w:spacing w:line="480" w:lineRule="auto"/>
        <w:jc w:val="both"/>
        <w:rPr>
          <w:rFonts w:ascii="Times New Roman" w:hAnsi="Times New Roman" w:cs="Times New Roman"/>
          <w:b/>
          <w:sz w:val="24"/>
        </w:rPr>
      </w:pPr>
      <w:r>
        <w:rPr>
          <w:rFonts w:ascii="Times New Roman" w:hAnsi="Times New Roman" w:cs="Times New Roman"/>
          <w:b/>
          <w:sz w:val="24"/>
        </w:rPr>
        <w:lastRenderedPageBreak/>
        <w:t>Conclusion</w:t>
      </w:r>
    </w:p>
    <w:p w14:paraId="3288A08D" w14:textId="516B0E9F" w:rsidR="00160D79" w:rsidRDefault="00224D70">
      <w:pPr>
        <w:spacing w:line="480" w:lineRule="auto"/>
        <w:jc w:val="both"/>
        <w:rPr>
          <w:rFonts w:ascii="Times New Roman" w:hAnsi="Times New Roman" w:cs="Times New Roman"/>
          <w:sz w:val="24"/>
        </w:rPr>
      </w:pPr>
      <w:r>
        <w:rPr>
          <w:rFonts w:ascii="Times New Roman" w:hAnsi="Times New Roman" w:cs="Times New Roman"/>
          <w:sz w:val="24"/>
        </w:rPr>
        <w:t xml:space="preserve">This chapter has demonstrated that exile continues to be a useful paradigm for </w:t>
      </w:r>
      <w:r>
        <w:rPr>
          <w:rFonts w:ascii="Times New Roman" w:hAnsi="Times New Roman" w:cs="Times New Roman"/>
          <w:sz w:val="24"/>
          <w:szCs w:val="24"/>
        </w:rPr>
        <w:t>writers and thinkers from a range of cultural contexts to conceive of their migration. Migration literature has broadened paradigms of geographical exile to incorporate experiences of internal exile, return, and “leaping forward”</w:t>
      </w:r>
      <w:r w:rsidR="005B66E9">
        <w:rPr>
          <w:rFonts w:ascii="Times New Roman" w:hAnsi="Times New Roman" w:cs="Times New Roman"/>
          <w:sz w:val="24"/>
          <w:szCs w:val="24"/>
        </w:rPr>
        <w:t xml:space="preserve"> (</w:t>
      </w:r>
      <w:r w:rsidR="005B66E9">
        <w:rPr>
          <w:rFonts w:ascii="Times New Roman" w:hAnsi="Times New Roman" w:cs="Times New Roman"/>
          <w:sz w:val="24"/>
          <w:szCs w:val="24"/>
        </w:rPr>
        <w:t>Asempasah 279</w:t>
      </w:r>
      <w:r w:rsidR="005B66E9">
        <w:rPr>
          <w:rFonts w:ascii="Times New Roman" w:hAnsi="Times New Roman" w:cs="Times New Roman"/>
          <w:sz w:val="24"/>
          <w:szCs w:val="24"/>
        </w:rPr>
        <w:t>)</w:t>
      </w:r>
      <w:r>
        <w:rPr>
          <w:rFonts w:ascii="Times New Roman" w:hAnsi="Times New Roman" w:cs="Times New Roman"/>
          <w:sz w:val="24"/>
          <w:szCs w:val="24"/>
        </w:rPr>
        <w:t xml:space="preserve">, while it has also shown that there continues to be value in considering exile as a metaphor as long as the embodied experience of exile and migration are also taken into consideration. The texts considered in this chapter recall </w:t>
      </w:r>
      <w:r w:rsidR="00B14FF8">
        <w:rPr>
          <w:rFonts w:ascii="Times New Roman" w:hAnsi="Times New Roman" w:cs="Times New Roman"/>
          <w:sz w:val="24"/>
          <w:szCs w:val="24"/>
        </w:rPr>
        <w:t xml:space="preserve">Kate </w:t>
      </w:r>
      <w:r w:rsidR="00B14FF8" w:rsidRPr="00392FCB">
        <w:rPr>
          <w:rFonts w:ascii="Times New Roman" w:hAnsi="Times New Roman" w:cs="Times New Roman"/>
          <w:sz w:val="24"/>
          <w:szCs w:val="24"/>
        </w:rPr>
        <w:t>Averis</w:t>
      </w:r>
      <w:r w:rsidR="00B14FF8">
        <w:rPr>
          <w:rFonts w:ascii="Times New Roman" w:hAnsi="Times New Roman" w:cs="Times New Roman"/>
          <w:sz w:val="24"/>
          <w:szCs w:val="24"/>
        </w:rPr>
        <w:t xml:space="preserve"> and Isabel Hollis-</w:t>
      </w:r>
      <w:r w:rsidR="00B14FF8" w:rsidRPr="00392FCB">
        <w:rPr>
          <w:rFonts w:ascii="Times New Roman" w:hAnsi="Times New Roman" w:cs="Times New Roman"/>
          <w:sz w:val="24"/>
          <w:szCs w:val="24"/>
        </w:rPr>
        <w:t>Touré</w:t>
      </w:r>
      <w:r w:rsidR="00B14FF8">
        <w:rPr>
          <w:rFonts w:ascii="Times New Roman" w:hAnsi="Times New Roman" w:cs="Times New Roman"/>
          <w:sz w:val="24"/>
          <w:szCs w:val="24"/>
        </w:rPr>
        <w:t>’s</w:t>
      </w:r>
      <w:r>
        <w:rPr>
          <w:rFonts w:ascii="Times New Roman" w:hAnsi="Times New Roman" w:cs="Times New Roman"/>
          <w:sz w:val="24"/>
          <w:szCs w:val="24"/>
        </w:rPr>
        <w:t xml:space="preserve"> appeal that we pay attention</w:t>
      </w:r>
      <w:r>
        <w:rPr>
          <w:rFonts w:ascii="Times New Roman" w:hAnsi="Times New Roman" w:cs="Times New Roman"/>
          <w:sz w:val="24"/>
        </w:rPr>
        <w:t xml:space="preserve"> to the ways in which people define their own experiences of movement, rather than imposing a label on them. They write: “the exile is traveller, is migrant, is expatriate, is nomad, for different people, in different contexts for different reasons” (17). </w:t>
      </w:r>
      <w:r w:rsidR="00E84D79">
        <w:rPr>
          <w:rFonts w:ascii="Times New Roman" w:hAnsi="Times New Roman" w:cs="Times New Roman"/>
          <w:sz w:val="24"/>
        </w:rPr>
        <w:t>In their multiple approaches to migration</w:t>
      </w:r>
      <w:r>
        <w:rPr>
          <w:rFonts w:ascii="Times New Roman" w:hAnsi="Times New Roman" w:cs="Times New Roman"/>
          <w:sz w:val="24"/>
        </w:rPr>
        <w:t>, authors</w:t>
      </w:r>
      <w:r>
        <w:rPr>
          <w:rFonts w:ascii="Times New Roman" w:hAnsi="Times New Roman" w:cs="Times New Roman"/>
          <w:sz w:val="24"/>
          <w:szCs w:val="24"/>
        </w:rPr>
        <w:t xml:space="preserve"> create their own definition of what it means to live in exile.</w:t>
      </w:r>
    </w:p>
    <w:p w14:paraId="650F3BBF" w14:textId="77777777" w:rsidR="008513E7" w:rsidRDefault="008513E7">
      <w:pPr>
        <w:jc w:val="both"/>
        <w:rPr>
          <w:rFonts w:ascii="Times New Roman" w:hAnsi="Times New Roman" w:cs="Times New Roman"/>
          <w:sz w:val="24"/>
          <w:szCs w:val="24"/>
        </w:rPr>
      </w:pPr>
    </w:p>
    <w:p w14:paraId="10311B4C" w14:textId="77777777" w:rsidR="00160D79" w:rsidRDefault="00160D79" w:rsidP="000D5BF7">
      <w:pPr>
        <w:spacing w:line="480" w:lineRule="auto"/>
        <w:rPr>
          <w:rFonts w:ascii="Times New Roman" w:hAnsi="Times New Roman" w:cs="Times New Roman"/>
          <w:b/>
          <w:sz w:val="24"/>
          <w:szCs w:val="24"/>
        </w:rPr>
      </w:pPr>
    </w:p>
    <w:p w14:paraId="4BDD3622" w14:textId="408D9C05" w:rsidR="008513E7" w:rsidRPr="008513E7" w:rsidRDefault="008513E7" w:rsidP="008513E7">
      <w:pPr>
        <w:spacing w:line="480" w:lineRule="auto"/>
        <w:jc w:val="center"/>
        <w:rPr>
          <w:rFonts w:ascii="Times New Roman" w:hAnsi="Times New Roman" w:cs="Times New Roman"/>
          <w:b/>
          <w:sz w:val="24"/>
          <w:szCs w:val="24"/>
        </w:rPr>
      </w:pPr>
      <w:r w:rsidRPr="008703D8">
        <w:rPr>
          <w:rFonts w:ascii="Times New Roman" w:hAnsi="Times New Roman" w:cs="Times New Roman"/>
          <w:b/>
          <w:sz w:val="24"/>
          <w:szCs w:val="24"/>
        </w:rPr>
        <w:t>Works</w:t>
      </w:r>
      <w:r w:rsidRPr="008513E7">
        <w:rPr>
          <w:rFonts w:ascii="Times New Roman" w:hAnsi="Times New Roman" w:cs="Times New Roman"/>
          <w:b/>
          <w:sz w:val="24"/>
          <w:szCs w:val="24"/>
        </w:rPr>
        <w:t xml:space="preserve"> </w:t>
      </w:r>
      <w:r w:rsidR="008F43C9">
        <w:rPr>
          <w:rFonts w:ascii="Times New Roman" w:hAnsi="Times New Roman" w:cs="Times New Roman"/>
          <w:b/>
          <w:sz w:val="24"/>
          <w:szCs w:val="24"/>
        </w:rPr>
        <w:t>C</w:t>
      </w:r>
      <w:r w:rsidRPr="008513E7">
        <w:rPr>
          <w:rFonts w:ascii="Times New Roman" w:hAnsi="Times New Roman" w:cs="Times New Roman"/>
          <w:b/>
          <w:sz w:val="24"/>
          <w:szCs w:val="24"/>
        </w:rPr>
        <w:t>ited</w:t>
      </w:r>
    </w:p>
    <w:p w14:paraId="222DB1E0" w14:textId="77777777" w:rsidR="00160D79" w:rsidRPr="00CF3C0F" w:rsidRDefault="00224D70" w:rsidP="00CF3C0F">
      <w:pPr>
        <w:spacing w:line="480" w:lineRule="auto"/>
        <w:ind w:hanging="720"/>
        <w:jc w:val="both"/>
        <w:rPr>
          <w:rFonts w:ascii="Times New Roman" w:hAnsi="Times New Roman" w:cs="Times New Roman"/>
          <w:sz w:val="24"/>
          <w:szCs w:val="24"/>
          <w:lang w:val="de-DE"/>
        </w:rPr>
      </w:pPr>
      <w:r w:rsidRPr="001E0932">
        <w:rPr>
          <w:rFonts w:ascii="Times New Roman" w:hAnsi="Times New Roman" w:cs="Times New Roman"/>
          <w:sz w:val="24"/>
          <w:szCs w:val="24"/>
        </w:rPr>
        <w:t xml:space="preserve">Achebe, Chinua. </w:t>
      </w:r>
      <w:r w:rsidRPr="001E0932">
        <w:rPr>
          <w:rFonts w:ascii="Times New Roman" w:hAnsi="Times New Roman" w:cs="Times New Roman"/>
          <w:i/>
          <w:sz w:val="24"/>
          <w:szCs w:val="24"/>
        </w:rPr>
        <w:t>Things Fall Apart</w:t>
      </w:r>
      <w:r w:rsidRPr="001E0932">
        <w:rPr>
          <w:rFonts w:ascii="Times New Roman" w:hAnsi="Times New Roman" w:cs="Times New Roman"/>
          <w:sz w:val="24"/>
          <w:szCs w:val="24"/>
        </w:rPr>
        <w:t xml:space="preserve">. </w:t>
      </w:r>
      <w:r w:rsidRPr="00CF3C0F">
        <w:rPr>
          <w:rFonts w:ascii="Times New Roman" w:hAnsi="Times New Roman" w:cs="Times New Roman"/>
          <w:sz w:val="24"/>
          <w:szCs w:val="24"/>
          <w:lang w:val="de-DE"/>
        </w:rPr>
        <w:t>William Heinemann, 1958.</w:t>
      </w:r>
    </w:p>
    <w:p w14:paraId="4E0D9765" w14:textId="38C6696B" w:rsidR="00160D79" w:rsidRPr="001E0932" w:rsidRDefault="00224D70" w:rsidP="00CF3C0F">
      <w:pPr>
        <w:spacing w:line="480" w:lineRule="auto"/>
        <w:ind w:hanging="720"/>
        <w:jc w:val="both"/>
        <w:rPr>
          <w:rFonts w:ascii="Times New Roman" w:hAnsi="Times New Roman" w:cs="Times New Roman"/>
          <w:sz w:val="24"/>
          <w:szCs w:val="24"/>
        </w:rPr>
      </w:pPr>
      <w:r w:rsidRPr="00CF3C0F">
        <w:rPr>
          <w:rFonts w:ascii="Times New Roman" w:hAnsi="Times New Roman" w:cs="Times New Roman"/>
          <w:sz w:val="24"/>
          <w:szCs w:val="24"/>
          <w:lang w:val="de-DE"/>
        </w:rPr>
        <w:t>Adichie, Chimamanda Ngozi</w:t>
      </w:r>
      <w:r w:rsidR="008513E7" w:rsidRPr="001E0932">
        <w:rPr>
          <w:rFonts w:ascii="Times New Roman" w:hAnsi="Times New Roman" w:cs="Times New Roman"/>
          <w:sz w:val="24"/>
          <w:szCs w:val="24"/>
          <w:lang w:val="de-DE"/>
        </w:rPr>
        <w:t>.</w:t>
      </w:r>
      <w:r w:rsidRPr="00CF3C0F">
        <w:rPr>
          <w:rFonts w:ascii="Times New Roman" w:hAnsi="Times New Roman" w:cs="Times New Roman"/>
          <w:sz w:val="24"/>
          <w:szCs w:val="24"/>
          <w:lang w:val="de-DE"/>
        </w:rPr>
        <w:t xml:space="preserve"> </w:t>
      </w:r>
      <w:r w:rsidRPr="00CF3C0F">
        <w:rPr>
          <w:rFonts w:ascii="Times New Roman" w:hAnsi="Times New Roman" w:cs="Times New Roman"/>
          <w:i/>
          <w:sz w:val="24"/>
          <w:szCs w:val="24"/>
          <w:lang w:val="en-US"/>
        </w:rPr>
        <w:t>Americanah</w:t>
      </w:r>
      <w:r w:rsidRPr="00CF3C0F">
        <w:rPr>
          <w:rFonts w:ascii="Times New Roman" w:hAnsi="Times New Roman" w:cs="Times New Roman"/>
          <w:sz w:val="24"/>
          <w:szCs w:val="24"/>
          <w:lang w:val="en-US"/>
        </w:rPr>
        <w:t xml:space="preserve">. </w:t>
      </w:r>
      <w:r w:rsidRPr="001E0932">
        <w:rPr>
          <w:rFonts w:ascii="Times New Roman" w:hAnsi="Times New Roman" w:cs="Times New Roman"/>
          <w:sz w:val="24"/>
          <w:szCs w:val="24"/>
        </w:rPr>
        <w:t>Kachifo, 2013.</w:t>
      </w:r>
    </w:p>
    <w:p w14:paraId="7A75E04B"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 </w:t>
      </w:r>
      <w:r w:rsidRPr="001E0932">
        <w:rPr>
          <w:rFonts w:ascii="Times New Roman" w:hAnsi="Times New Roman" w:cs="Times New Roman"/>
          <w:i/>
          <w:sz w:val="24"/>
          <w:szCs w:val="24"/>
        </w:rPr>
        <w:t>Purple Hibiscus</w:t>
      </w:r>
      <w:r w:rsidRPr="001E0932">
        <w:rPr>
          <w:rFonts w:ascii="Times New Roman" w:hAnsi="Times New Roman" w:cs="Times New Roman"/>
          <w:sz w:val="24"/>
          <w:szCs w:val="24"/>
        </w:rPr>
        <w:t>. Narrative Landscape Press, 2003.</w:t>
      </w:r>
    </w:p>
    <w:p w14:paraId="172A9EF3" w14:textId="063EA305"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rPr>
        <w:t xml:space="preserve">Adorno, Theodor P. </w:t>
      </w:r>
      <w:r w:rsidRPr="001E0932">
        <w:rPr>
          <w:rFonts w:ascii="Times New Roman" w:hAnsi="Times New Roman" w:cs="Times New Roman"/>
          <w:i/>
          <w:iCs/>
          <w:sz w:val="24"/>
          <w:szCs w:val="24"/>
        </w:rPr>
        <w:t xml:space="preserve">Minima Moralia: Reflections </w:t>
      </w:r>
      <w:r w:rsidR="001E0634">
        <w:rPr>
          <w:rFonts w:ascii="Times New Roman" w:hAnsi="Times New Roman" w:cs="Times New Roman"/>
          <w:i/>
          <w:iCs/>
          <w:sz w:val="24"/>
          <w:szCs w:val="24"/>
        </w:rPr>
        <w:t xml:space="preserve">from </w:t>
      </w:r>
      <w:r w:rsidRPr="001E0932">
        <w:rPr>
          <w:rFonts w:ascii="Times New Roman" w:hAnsi="Times New Roman" w:cs="Times New Roman"/>
          <w:i/>
          <w:iCs/>
          <w:sz w:val="24"/>
          <w:szCs w:val="24"/>
        </w:rPr>
        <w:t>Damaged Life</w:t>
      </w:r>
      <w:r w:rsidRPr="001E0932">
        <w:rPr>
          <w:rFonts w:ascii="Times New Roman" w:hAnsi="Times New Roman" w:cs="Times New Roman"/>
          <w:sz w:val="24"/>
          <w:szCs w:val="24"/>
        </w:rPr>
        <w:t xml:space="preserve">. </w:t>
      </w:r>
      <w:r w:rsidRPr="001E0932">
        <w:rPr>
          <w:rFonts w:ascii="Times New Roman" w:hAnsi="Times New Roman" w:cs="Times New Roman"/>
          <w:sz w:val="24"/>
          <w:szCs w:val="24"/>
          <w:lang w:val="it-IT"/>
        </w:rPr>
        <w:t>Verso, 1978</w:t>
      </w:r>
      <w:r w:rsidR="001E0634">
        <w:rPr>
          <w:rFonts w:ascii="Times New Roman" w:hAnsi="Times New Roman" w:cs="Times New Roman"/>
          <w:sz w:val="24"/>
          <w:szCs w:val="24"/>
          <w:lang w:val="it-IT"/>
        </w:rPr>
        <w:t xml:space="preserve"> [</w:t>
      </w:r>
      <w:r w:rsidR="00A82922">
        <w:rPr>
          <w:rFonts w:ascii="Times New Roman" w:hAnsi="Times New Roman" w:cs="Times New Roman"/>
          <w:sz w:val="24"/>
          <w:szCs w:val="24"/>
          <w:lang w:val="it-IT"/>
        </w:rPr>
        <w:t>1951]</w:t>
      </w:r>
      <w:r w:rsidRPr="001E0932">
        <w:rPr>
          <w:rFonts w:ascii="Times New Roman" w:hAnsi="Times New Roman" w:cs="Times New Roman"/>
          <w:sz w:val="24"/>
          <w:szCs w:val="24"/>
          <w:lang w:val="it-IT"/>
        </w:rPr>
        <w:t>.</w:t>
      </w:r>
    </w:p>
    <w:p w14:paraId="592093F0" w14:textId="732CC17A"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it-IT"/>
        </w:rPr>
        <w:t xml:space="preserve">al-Nadawi, Hawra. </w:t>
      </w:r>
      <w:r w:rsidRPr="001E0932">
        <w:rPr>
          <w:rFonts w:ascii="Times New Roman" w:hAnsi="Times New Roman" w:cs="Times New Roman"/>
          <w:i/>
          <w:sz w:val="24"/>
          <w:szCs w:val="24"/>
          <w:lang w:val="it-IT"/>
        </w:rPr>
        <w:t>Tahta Sama’ Kubinhag</w:t>
      </w:r>
      <w:r w:rsidR="00C82DD1">
        <w:rPr>
          <w:rFonts w:ascii="Times New Roman" w:hAnsi="Times New Roman" w:cs="Times New Roman"/>
          <w:i/>
          <w:sz w:val="24"/>
          <w:szCs w:val="24"/>
          <w:lang w:val="it-IT"/>
        </w:rPr>
        <w:t>h</w:t>
      </w:r>
      <w:r w:rsidRPr="001E0932">
        <w:rPr>
          <w:rFonts w:ascii="Times New Roman" w:hAnsi="Times New Roman" w:cs="Times New Roman"/>
          <w:i/>
          <w:sz w:val="24"/>
          <w:szCs w:val="24"/>
          <w:lang w:val="it-IT"/>
        </w:rPr>
        <w:t xml:space="preserve">in. </w:t>
      </w:r>
      <w:r w:rsidRPr="001E0932">
        <w:rPr>
          <w:rFonts w:ascii="Times New Roman" w:hAnsi="Times New Roman" w:cs="Times New Roman"/>
          <w:sz w:val="24"/>
          <w:szCs w:val="24"/>
          <w:lang w:val="it-IT"/>
        </w:rPr>
        <w:t>Dar al-Saqi, 2010.</w:t>
      </w:r>
    </w:p>
    <w:p w14:paraId="51D838DA" w14:textId="180416E0"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it-IT"/>
        </w:rPr>
        <w:t xml:space="preserve">Arendt, Hannah. </w:t>
      </w:r>
      <w:r w:rsidRPr="001E0932">
        <w:rPr>
          <w:rFonts w:ascii="Times New Roman" w:hAnsi="Times New Roman" w:cs="Times New Roman"/>
          <w:sz w:val="24"/>
          <w:szCs w:val="24"/>
        </w:rPr>
        <w:t xml:space="preserve">“Active Patience.” </w:t>
      </w:r>
      <w:r w:rsidRPr="001E0932">
        <w:rPr>
          <w:rFonts w:ascii="Times New Roman" w:hAnsi="Times New Roman" w:cs="Times New Roman"/>
          <w:i/>
          <w:iCs/>
          <w:sz w:val="24"/>
          <w:szCs w:val="24"/>
        </w:rPr>
        <w:t>The Jewish Writings: Hannah Arendt</w:t>
      </w:r>
      <w:r w:rsidRPr="001E0932">
        <w:rPr>
          <w:rFonts w:ascii="Times New Roman" w:hAnsi="Times New Roman" w:cs="Times New Roman"/>
          <w:sz w:val="24"/>
          <w:szCs w:val="24"/>
        </w:rPr>
        <w:t>, edited by Jerome Kohn and Ron H. Feldman, Shocken Books, 2007, p</w:t>
      </w:r>
      <w:r w:rsidR="008513E7" w:rsidRPr="001E0932">
        <w:rPr>
          <w:rFonts w:ascii="Times New Roman" w:hAnsi="Times New Roman" w:cs="Times New Roman"/>
          <w:sz w:val="24"/>
          <w:szCs w:val="24"/>
        </w:rPr>
        <w:t>p</w:t>
      </w:r>
      <w:r w:rsidRPr="001E0932">
        <w:rPr>
          <w:rFonts w:ascii="Times New Roman" w:hAnsi="Times New Roman" w:cs="Times New Roman"/>
          <w:sz w:val="24"/>
          <w:szCs w:val="24"/>
        </w:rPr>
        <w:t>. 139-42.</w:t>
      </w:r>
    </w:p>
    <w:p w14:paraId="6F09D4CA" w14:textId="3DD9A6F5"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lastRenderedPageBreak/>
        <w:t xml:space="preserve">Asempasah, Rogers. “Exile and Postcolonial National Redemption in Ben Okri’s </w:t>
      </w:r>
      <w:r w:rsidRPr="001E0932">
        <w:rPr>
          <w:rFonts w:ascii="Times New Roman" w:hAnsi="Times New Roman" w:cs="Times New Roman"/>
          <w:i/>
          <w:sz w:val="24"/>
          <w:szCs w:val="24"/>
        </w:rPr>
        <w:t>The Famished</w:t>
      </w:r>
      <w:r w:rsidRPr="001E0932">
        <w:rPr>
          <w:rFonts w:ascii="Times New Roman" w:hAnsi="Times New Roman" w:cs="Times New Roman"/>
          <w:sz w:val="24"/>
          <w:szCs w:val="24"/>
        </w:rPr>
        <w:t xml:space="preserve"> and Chimamanda Ngozi Adichie’s </w:t>
      </w:r>
      <w:r w:rsidRPr="001E0932">
        <w:rPr>
          <w:rFonts w:ascii="Times New Roman" w:hAnsi="Times New Roman" w:cs="Times New Roman"/>
          <w:i/>
          <w:sz w:val="24"/>
          <w:szCs w:val="24"/>
        </w:rPr>
        <w:t>Purple Hibiscus</w:t>
      </w:r>
      <w:r w:rsidRPr="001E0932">
        <w:rPr>
          <w:rFonts w:ascii="Times New Roman" w:hAnsi="Times New Roman" w:cs="Times New Roman"/>
          <w:sz w:val="24"/>
          <w:szCs w:val="24"/>
        </w:rPr>
        <w:t xml:space="preserve">.” </w:t>
      </w:r>
      <w:r w:rsidRPr="001E0932">
        <w:rPr>
          <w:rFonts w:ascii="Times New Roman" w:hAnsi="Times New Roman" w:cs="Times New Roman"/>
          <w:i/>
          <w:sz w:val="24"/>
          <w:szCs w:val="24"/>
        </w:rPr>
        <w:t>African Studies</w:t>
      </w:r>
      <w:r w:rsidRPr="001E0932">
        <w:rPr>
          <w:rFonts w:ascii="Times New Roman" w:hAnsi="Times New Roman" w:cs="Times New Roman"/>
          <w:sz w:val="24"/>
          <w:szCs w:val="24"/>
        </w:rPr>
        <w:t>, vol. 79, no. 3, 2020, pp. 267-84.</w:t>
      </w:r>
    </w:p>
    <w:p w14:paraId="6735422A"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Ashcroft, Bill, and Pal Ahluwalia. </w:t>
      </w:r>
      <w:r w:rsidRPr="001E0932">
        <w:rPr>
          <w:rFonts w:ascii="Times New Roman" w:hAnsi="Times New Roman" w:cs="Times New Roman"/>
          <w:i/>
          <w:sz w:val="24"/>
          <w:szCs w:val="24"/>
        </w:rPr>
        <w:t>Edward Said</w:t>
      </w:r>
      <w:r w:rsidRPr="001E0932">
        <w:rPr>
          <w:rFonts w:ascii="Times New Roman" w:hAnsi="Times New Roman" w:cs="Times New Roman"/>
          <w:sz w:val="24"/>
          <w:szCs w:val="24"/>
        </w:rPr>
        <w:t>. Routledge, 2009.</w:t>
      </w:r>
    </w:p>
    <w:p w14:paraId="01383DF9" w14:textId="48A256E5" w:rsidR="00160D79" w:rsidRPr="001E0932" w:rsidRDefault="00224D70" w:rsidP="00CF3C0F">
      <w:pPr>
        <w:spacing w:line="480" w:lineRule="auto"/>
        <w:ind w:hanging="720"/>
        <w:jc w:val="both"/>
        <w:rPr>
          <w:rFonts w:ascii="Times New Roman" w:hAnsi="Times New Roman" w:cs="Times New Roman"/>
          <w:sz w:val="24"/>
          <w:szCs w:val="24"/>
          <w:highlight w:val="yellow"/>
        </w:rPr>
      </w:pPr>
      <w:r w:rsidRPr="001E0932">
        <w:rPr>
          <w:rFonts w:ascii="Times New Roman" w:hAnsi="Times New Roman" w:cs="Times New Roman"/>
          <w:sz w:val="24"/>
          <w:szCs w:val="24"/>
        </w:rPr>
        <w:t xml:space="preserve">Averis, Kate, and Isabel Hollis-Touré. “Introduction: Rethinking Mobility in Francophone Women’s Writing.” </w:t>
      </w:r>
      <w:r w:rsidRPr="001E0932">
        <w:rPr>
          <w:rFonts w:ascii="Times New Roman" w:hAnsi="Times New Roman" w:cs="Times New Roman"/>
          <w:i/>
          <w:sz w:val="24"/>
          <w:szCs w:val="24"/>
        </w:rPr>
        <w:t>Exiles, Travellers and Vagabonds: Rethinking Mobility in Francophone Women’s Writing</w:t>
      </w:r>
      <w:r w:rsidRPr="001E0932">
        <w:rPr>
          <w:rFonts w:ascii="Times New Roman" w:hAnsi="Times New Roman" w:cs="Times New Roman"/>
          <w:sz w:val="24"/>
          <w:szCs w:val="24"/>
        </w:rPr>
        <w:t>, edited by Kate Averis and Isabel Hollis-Touré, U of Wales P, 2016, pp. 13-21.</w:t>
      </w:r>
    </w:p>
    <w:p w14:paraId="65AE1E78" w14:textId="74824885"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rPr>
        <w:t xml:space="preserve">Bartoloni, Paulo. </w:t>
      </w:r>
      <w:r w:rsidRPr="001E0932">
        <w:rPr>
          <w:rFonts w:ascii="Times New Roman" w:hAnsi="Times New Roman" w:cs="Times New Roman"/>
          <w:i/>
          <w:sz w:val="24"/>
          <w:szCs w:val="24"/>
        </w:rPr>
        <w:t>On the Cultures of Exile, Translation, and Writing</w:t>
      </w:r>
      <w:r w:rsidRPr="001E0932">
        <w:rPr>
          <w:rFonts w:ascii="Times New Roman" w:hAnsi="Times New Roman" w:cs="Times New Roman"/>
          <w:sz w:val="24"/>
          <w:szCs w:val="24"/>
        </w:rPr>
        <w:t xml:space="preserve">. </w:t>
      </w:r>
      <w:r w:rsidRPr="001E0932">
        <w:rPr>
          <w:rFonts w:ascii="Times New Roman" w:hAnsi="Times New Roman" w:cs="Times New Roman"/>
          <w:sz w:val="24"/>
          <w:szCs w:val="24"/>
          <w:lang w:val="it-IT"/>
        </w:rPr>
        <w:t>Purdue UP, 2008.</w:t>
      </w:r>
    </w:p>
    <w:p w14:paraId="63D3D775" w14:textId="7777777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it-IT"/>
        </w:rPr>
        <w:t xml:space="preserve">Benedetti, Mario. </w:t>
      </w:r>
      <w:r w:rsidRPr="001E0932">
        <w:rPr>
          <w:rFonts w:ascii="Times New Roman" w:hAnsi="Times New Roman" w:cs="Times New Roman"/>
          <w:i/>
          <w:sz w:val="24"/>
          <w:szCs w:val="24"/>
          <w:lang w:val="it-IT"/>
        </w:rPr>
        <w:t>Primavera con una esquina rota</w:t>
      </w:r>
      <w:r w:rsidRPr="001E0932">
        <w:rPr>
          <w:rFonts w:ascii="Times New Roman" w:hAnsi="Times New Roman" w:cs="Times New Roman"/>
          <w:sz w:val="24"/>
          <w:szCs w:val="24"/>
          <w:lang w:val="it-IT"/>
        </w:rPr>
        <w:t>. Editorial Nueva Imagen, 1982.</w:t>
      </w:r>
    </w:p>
    <w:p w14:paraId="50FD7E17"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it-IT"/>
        </w:rPr>
        <w:t xml:space="preserve">Bevan, David. </w:t>
      </w:r>
      <w:r w:rsidRPr="001E0932">
        <w:rPr>
          <w:rFonts w:ascii="Times New Roman" w:hAnsi="Times New Roman" w:cs="Times New Roman"/>
          <w:sz w:val="24"/>
          <w:szCs w:val="24"/>
        </w:rPr>
        <w:t xml:space="preserve">“Introduction.” </w:t>
      </w:r>
      <w:r w:rsidRPr="001E0932">
        <w:rPr>
          <w:rFonts w:ascii="Times New Roman" w:hAnsi="Times New Roman" w:cs="Times New Roman"/>
          <w:i/>
          <w:sz w:val="24"/>
          <w:szCs w:val="24"/>
        </w:rPr>
        <w:t>Literature and Exile</w:t>
      </w:r>
      <w:r w:rsidRPr="001E0932">
        <w:rPr>
          <w:rFonts w:ascii="Times New Roman" w:hAnsi="Times New Roman" w:cs="Times New Roman"/>
          <w:sz w:val="24"/>
          <w:szCs w:val="24"/>
        </w:rPr>
        <w:t>, edited by David Bevan, Rodopi, 1990, pp. 3-4.</w:t>
      </w:r>
    </w:p>
    <w:p w14:paraId="27DB2959" w14:textId="4DF1106F"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Bhabha, Homi. </w:t>
      </w:r>
      <w:r w:rsidRPr="001E0932">
        <w:rPr>
          <w:rFonts w:ascii="Times New Roman" w:hAnsi="Times New Roman" w:cs="Times New Roman"/>
          <w:i/>
          <w:iCs/>
          <w:sz w:val="24"/>
          <w:szCs w:val="24"/>
        </w:rPr>
        <w:t>The Location of Culture</w:t>
      </w:r>
      <w:r w:rsidRPr="001E0932">
        <w:rPr>
          <w:rFonts w:ascii="Times New Roman" w:hAnsi="Times New Roman" w:cs="Times New Roman"/>
          <w:sz w:val="24"/>
          <w:szCs w:val="24"/>
        </w:rPr>
        <w:t>, 2nd ed.</w:t>
      </w:r>
      <w:r w:rsidR="008513E7" w:rsidRPr="001E0932">
        <w:rPr>
          <w:rFonts w:ascii="Times New Roman" w:hAnsi="Times New Roman" w:cs="Times New Roman"/>
          <w:sz w:val="24"/>
          <w:szCs w:val="24"/>
        </w:rPr>
        <w:t>,</w:t>
      </w:r>
      <w:r w:rsidRPr="001E0932">
        <w:rPr>
          <w:rFonts w:ascii="Times New Roman" w:hAnsi="Times New Roman" w:cs="Times New Roman"/>
          <w:sz w:val="24"/>
          <w:szCs w:val="24"/>
        </w:rPr>
        <w:t xml:space="preserve"> Routledge, 2004.</w:t>
      </w:r>
    </w:p>
    <w:p w14:paraId="1DCE11E0" w14:textId="0BBF826B"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Bloch, Alice, and Giorgia Donà</w:t>
      </w:r>
      <w:r w:rsidR="00211C35" w:rsidRPr="001E0932">
        <w:rPr>
          <w:rFonts w:ascii="Times New Roman" w:hAnsi="Times New Roman" w:cs="Times New Roman"/>
          <w:sz w:val="24"/>
          <w:szCs w:val="24"/>
        </w:rPr>
        <w:t>,</w:t>
      </w:r>
      <w:r w:rsidRPr="001E0932">
        <w:rPr>
          <w:rFonts w:ascii="Times New Roman" w:hAnsi="Times New Roman" w:cs="Times New Roman"/>
          <w:sz w:val="24"/>
          <w:szCs w:val="24"/>
        </w:rPr>
        <w:t xml:space="preserve"> </w:t>
      </w:r>
      <w:r w:rsidR="00211C35" w:rsidRPr="001E0932">
        <w:rPr>
          <w:rFonts w:ascii="Times New Roman" w:hAnsi="Times New Roman" w:cs="Times New Roman"/>
          <w:sz w:val="24"/>
          <w:szCs w:val="24"/>
        </w:rPr>
        <w:t>editors</w:t>
      </w:r>
      <w:r w:rsidRPr="001E0932">
        <w:rPr>
          <w:rFonts w:ascii="Times New Roman" w:hAnsi="Times New Roman" w:cs="Times New Roman"/>
          <w:sz w:val="24"/>
          <w:szCs w:val="24"/>
        </w:rPr>
        <w:t xml:space="preserve">. </w:t>
      </w:r>
      <w:r w:rsidRPr="001E0932">
        <w:rPr>
          <w:rFonts w:ascii="Times New Roman" w:hAnsi="Times New Roman" w:cs="Times New Roman"/>
          <w:i/>
          <w:iCs/>
          <w:sz w:val="24"/>
          <w:szCs w:val="24"/>
        </w:rPr>
        <w:t>Forced Migration: Current Issues and Debates</w:t>
      </w:r>
      <w:r w:rsidRPr="001E0932">
        <w:rPr>
          <w:rFonts w:ascii="Times New Roman" w:hAnsi="Times New Roman" w:cs="Times New Roman"/>
          <w:sz w:val="24"/>
          <w:szCs w:val="24"/>
        </w:rPr>
        <w:t>. Routledge, 2020.</w:t>
      </w:r>
    </w:p>
    <w:p w14:paraId="0590905A"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en-AU"/>
        </w:rPr>
        <w:t xml:space="preserve">Bouraoui, Nina. </w:t>
      </w:r>
      <w:r w:rsidRPr="001E0932">
        <w:rPr>
          <w:rFonts w:ascii="Times New Roman" w:hAnsi="Times New Roman" w:cs="Times New Roman"/>
          <w:i/>
          <w:sz w:val="24"/>
          <w:szCs w:val="24"/>
        </w:rPr>
        <w:t>Garçon manqué</w:t>
      </w:r>
      <w:r w:rsidRPr="001E0932">
        <w:rPr>
          <w:rFonts w:ascii="Times New Roman" w:hAnsi="Times New Roman" w:cs="Times New Roman"/>
          <w:sz w:val="24"/>
          <w:szCs w:val="24"/>
        </w:rPr>
        <w:t>. Stock, 2000.</w:t>
      </w:r>
    </w:p>
    <w:p w14:paraId="15FE753C"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Boym, Svetlana. </w:t>
      </w:r>
      <w:r w:rsidRPr="001E0932">
        <w:rPr>
          <w:rFonts w:ascii="Times New Roman" w:hAnsi="Times New Roman" w:cs="Times New Roman"/>
          <w:i/>
          <w:iCs/>
          <w:sz w:val="24"/>
          <w:szCs w:val="24"/>
        </w:rPr>
        <w:t>The Future of Nostalgia</w:t>
      </w:r>
      <w:r w:rsidRPr="001E0932">
        <w:rPr>
          <w:rFonts w:ascii="Times New Roman" w:hAnsi="Times New Roman" w:cs="Times New Roman"/>
          <w:sz w:val="24"/>
          <w:szCs w:val="24"/>
        </w:rPr>
        <w:t>. Basic Books, 2001.</w:t>
      </w:r>
    </w:p>
    <w:p w14:paraId="5DE43C89"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Bromley, Roger. </w:t>
      </w:r>
      <w:r w:rsidRPr="001E0932">
        <w:rPr>
          <w:rFonts w:ascii="Times New Roman" w:hAnsi="Times New Roman" w:cs="Times New Roman"/>
          <w:i/>
          <w:sz w:val="24"/>
          <w:szCs w:val="24"/>
        </w:rPr>
        <w:t>Narratives of Forced Mobility and Displacement in Contemporary Literature and Culture</w:t>
      </w:r>
      <w:r w:rsidRPr="001E0932">
        <w:rPr>
          <w:rFonts w:ascii="Times New Roman" w:hAnsi="Times New Roman" w:cs="Times New Roman"/>
          <w:sz w:val="24"/>
          <w:szCs w:val="24"/>
        </w:rPr>
        <w:t>. Palgrave Macmillan, 2021.</w:t>
      </w:r>
    </w:p>
    <w:p w14:paraId="17F34763" w14:textId="4CFB4082"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Carpenter, Nathan Riley, and Benjamin N. Lawrance. “Introduction.” </w:t>
      </w:r>
      <w:r w:rsidRPr="001E0932">
        <w:rPr>
          <w:rFonts w:ascii="Times New Roman" w:hAnsi="Times New Roman" w:cs="Times New Roman"/>
          <w:i/>
          <w:sz w:val="24"/>
          <w:szCs w:val="24"/>
        </w:rPr>
        <w:t>Africans in Exile: Mobility, Law, and Identity</w:t>
      </w:r>
      <w:r w:rsidRPr="001E0932">
        <w:rPr>
          <w:rFonts w:ascii="Times New Roman" w:hAnsi="Times New Roman" w:cs="Times New Roman"/>
          <w:sz w:val="24"/>
          <w:szCs w:val="24"/>
        </w:rPr>
        <w:t>, edited by Nathan Riley Carpenter and Benjamin N. Lawrance</w:t>
      </w:r>
      <w:r w:rsidR="00211C35" w:rsidRPr="001E0932">
        <w:rPr>
          <w:rFonts w:ascii="Times New Roman" w:hAnsi="Times New Roman" w:cs="Times New Roman"/>
          <w:sz w:val="24"/>
          <w:szCs w:val="24"/>
        </w:rPr>
        <w:t>,</w:t>
      </w:r>
      <w:r w:rsidRPr="001E0932">
        <w:rPr>
          <w:rFonts w:ascii="Times New Roman" w:hAnsi="Times New Roman" w:cs="Times New Roman"/>
          <w:sz w:val="24"/>
          <w:szCs w:val="24"/>
        </w:rPr>
        <w:t xml:space="preserve"> Indiana UP, 2018, pp. 1-34.</w:t>
      </w:r>
    </w:p>
    <w:p w14:paraId="6B065EDA"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Castles, Stephen. “Towards a Sociology of Forced Migration and Social Transformation.” </w:t>
      </w:r>
      <w:r w:rsidRPr="001E0932">
        <w:rPr>
          <w:rFonts w:ascii="Times New Roman" w:hAnsi="Times New Roman" w:cs="Times New Roman"/>
          <w:i/>
          <w:iCs/>
          <w:sz w:val="24"/>
          <w:szCs w:val="24"/>
        </w:rPr>
        <w:t>Sociology</w:t>
      </w:r>
      <w:r w:rsidRPr="001E0932">
        <w:rPr>
          <w:rFonts w:ascii="Times New Roman" w:hAnsi="Times New Roman" w:cs="Times New Roman"/>
          <w:sz w:val="24"/>
          <w:szCs w:val="24"/>
        </w:rPr>
        <w:t xml:space="preserve">, vol. 37, no. 1, 2003, pp. 13-34 </w:t>
      </w:r>
    </w:p>
    <w:p w14:paraId="6E71D2BE" w14:textId="647C0AAA"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lastRenderedPageBreak/>
        <w:t xml:space="preserve">Chancy, Miriam J.A. </w:t>
      </w:r>
      <w:r w:rsidRPr="001E0932">
        <w:rPr>
          <w:rFonts w:ascii="Times New Roman" w:hAnsi="Times New Roman" w:cs="Times New Roman"/>
          <w:i/>
          <w:sz w:val="24"/>
          <w:szCs w:val="24"/>
        </w:rPr>
        <w:t>Searching for Safe Spaces: Afro-Caribbean Women Writers in Exile</w:t>
      </w:r>
      <w:r w:rsidRPr="001E0932">
        <w:rPr>
          <w:rFonts w:ascii="Times New Roman" w:hAnsi="Times New Roman" w:cs="Times New Roman"/>
          <w:sz w:val="24"/>
          <w:szCs w:val="24"/>
        </w:rPr>
        <w:t>. Temple UP, 1997.</w:t>
      </w:r>
    </w:p>
    <w:p w14:paraId="1FAEC57A"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Costa, Maria Teresa, and Hans Christian Hönes. “Self-Translation-Translation of the Self: An Introduction.” </w:t>
      </w:r>
      <w:r w:rsidRPr="001E0932">
        <w:rPr>
          <w:rFonts w:ascii="Times New Roman" w:hAnsi="Times New Roman" w:cs="Times New Roman"/>
          <w:i/>
          <w:sz w:val="24"/>
          <w:szCs w:val="24"/>
        </w:rPr>
        <w:t>Migrating Histories of Art: Self-Translations of a Discipline</w:t>
      </w:r>
      <w:r w:rsidRPr="001E0932">
        <w:rPr>
          <w:rFonts w:ascii="Times New Roman" w:hAnsi="Times New Roman" w:cs="Times New Roman"/>
          <w:sz w:val="24"/>
          <w:szCs w:val="24"/>
        </w:rPr>
        <w:t>, edited by Maria Teresa Costa and Hans Christian Hönes, De Gruyter, 2018, pp. 11-20.</w:t>
      </w:r>
    </w:p>
    <w:p w14:paraId="0EDA95F1" w14:textId="7A82934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fr-FR"/>
        </w:rPr>
        <w:t xml:space="preserve">Declercq, Elien. “‘Écriture migrante’, ‘littérature (im)migrante’, ‘migration literature’: réflexions sur un concept aux contours imprécis.” </w:t>
      </w:r>
      <w:r w:rsidRPr="001E0932">
        <w:rPr>
          <w:rFonts w:ascii="Times New Roman" w:hAnsi="Times New Roman" w:cs="Times New Roman"/>
          <w:i/>
          <w:sz w:val="24"/>
          <w:szCs w:val="24"/>
          <w:lang w:val="it-IT"/>
        </w:rPr>
        <w:t>Revue de littérature comparée</w:t>
      </w:r>
      <w:r w:rsidRPr="001E0932">
        <w:rPr>
          <w:rFonts w:ascii="Times New Roman" w:hAnsi="Times New Roman" w:cs="Times New Roman"/>
          <w:sz w:val="24"/>
          <w:szCs w:val="24"/>
          <w:lang w:val="it-IT"/>
        </w:rPr>
        <w:t xml:space="preserve">, vol. 339. no. 3, 2011, </w:t>
      </w:r>
      <w:r w:rsidR="00C46F91">
        <w:rPr>
          <w:rFonts w:ascii="Times New Roman" w:hAnsi="Times New Roman" w:cs="Times New Roman"/>
          <w:sz w:val="24"/>
          <w:szCs w:val="24"/>
          <w:lang w:val="it-IT"/>
        </w:rPr>
        <w:t>p</w:t>
      </w:r>
      <w:r w:rsidRPr="001E0932">
        <w:rPr>
          <w:rFonts w:ascii="Times New Roman" w:hAnsi="Times New Roman" w:cs="Times New Roman"/>
          <w:sz w:val="24"/>
          <w:szCs w:val="24"/>
          <w:lang w:val="it-IT"/>
        </w:rPr>
        <w:t>p.</w:t>
      </w:r>
      <w:r w:rsidR="00C46F91">
        <w:rPr>
          <w:rFonts w:ascii="Times New Roman" w:hAnsi="Times New Roman" w:cs="Times New Roman"/>
          <w:sz w:val="24"/>
          <w:szCs w:val="24"/>
          <w:lang w:val="it-IT"/>
        </w:rPr>
        <w:t xml:space="preserve"> 301-</w:t>
      </w:r>
      <w:r w:rsidRPr="001E0932">
        <w:rPr>
          <w:rFonts w:ascii="Times New Roman" w:hAnsi="Times New Roman" w:cs="Times New Roman"/>
          <w:sz w:val="24"/>
          <w:szCs w:val="24"/>
          <w:lang w:val="it-IT"/>
        </w:rPr>
        <w:t xml:space="preserve">10. </w:t>
      </w:r>
    </w:p>
    <w:p w14:paraId="72B6F000" w14:textId="2A0275F4" w:rsidR="00160D79" w:rsidRPr="001E0932" w:rsidRDefault="00224D70" w:rsidP="00CF3C0F">
      <w:pPr>
        <w:spacing w:line="480" w:lineRule="auto"/>
        <w:ind w:hanging="720"/>
        <w:jc w:val="both"/>
        <w:rPr>
          <w:rFonts w:ascii="Times New Roman" w:hAnsi="Times New Roman" w:cs="Times New Roman"/>
          <w:sz w:val="24"/>
          <w:szCs w:val="24"/>
          <w:lang w:val="fr-FR"/>
        </w:rPr>
      </w:pPr>
      <w:r w:rsidRPr="001E0932">
        <w:rPr>
          <w:rFonts w:ascii="Times New Roman" w:hAnsi="Times New Roman" w:cs="Times New Roman"/>
          <w:sz w:val="24"/>
          <w:szCs w:val="24"/>
          <w:lang w:val="it-IT"/>
        </w:rPr>
        <w:t xml:space="preserve">Delgado, Luisa Elena, </w:t>
      </w:r>
      <w:r w:rsidR="00BB68BA">
        <w:rPr>
          <w:rFonts w:ascii="Times New Roman" w:hAnsi="Times New Roman" w:cs="Times New Roman"/>
          <w:sz w:val="24"/>
          <w:szCs w:val="24"/>
          <w:lang w:val="it-IT"/>
        </w:rPr>
        <w:t xml:space="preserve">and </w:t>
      </w:r>
      <w:r w:rsidRPr="001E0932">
        <w:rPr>
          <w:rFonts w:ascii="Times New Roman" w:hAnsi="Times New Roman" w:cs="Times New Roman"/>
          <w:sz w:val="24"/>
          <w:szCs w:val="24"/>
          <w:lang w:val="it-IT"/>
        </w:rPr>
        <w:t>Rolando J. Romero</w:t>
      </w:r>
      <w:r w:rsidR="00BB68BA">
        <w:rPr>
          <w:rFonts w:ascii="Times New Roman" w:hAnsi="Times New Roman" w:cs="Times New Roman"/>
          <w:sz w:val="24"/>
          <w:szCs w:val="24"/>
          <w:lang w:val="it-IT"/>
        </w:rPr>
        <w:t>.</w:t>
      </w:r>
      <w:r w:rsidRPr="001E0932">
        <w:rPr>
          <w:rFonts w:ascii="Times New Roman" w:hAnsi="Times New Roman" w:cs="Times New Roman"/>
          <w:sz w:val="24"/>
          <w:szCs w:val="24"/>
          <w:lang w:val="it-IT"/>
        </w:rPr>
        <w:t xml:space="preserve"> </w:t>
      </w:r>
      <w:r w:rsidRPr="001E0932">
        <w:rPr>
          <w:rFonts w:ascii="Times New Roman" w:hAnsi="Times New Roman" w:cs="Times New Roman"/>
          <w:sz w:val="24"/>
          <w:szCs w:val="24"/>
        </w:rPr>
        <w:t xml:space="preserve">“Local Histories and Global Designs: An Interview with Walter Mignolo”. </w:t>
      </w:r>
      <w:r w:rsidRPr="001E0932">
        <w:rPr>
          <w:rFonts w:ascii="Times New Roman" w:hAnsi="Times New Roman" w:cs="Times New Roman"/>
          <w:i/>
          <w:sz w:val="24"/>
          <w:szCs w:val="24"/>
          <w:lang w:val="fr-FR"/>
        </w:rPr>
        <w:t>Discourse</w:t>
      </w:r>
      <w:r w:rsidRPr="001E0932">
        <w:rPr>
          <w:rFonts w:ascii="Times New Roman" w:hAnsi="Times New Roman" w:cs="Times New Roman"/>
          <w:sz w:val="24"/>
          <w:szCs w:val="24"/>
          <w:lang w:val="fr-FR"/>
        </w:rPr>
        <w:t>, vol. 22, no. 3, 2001, pp. 7-33.</w:t>
      </w:r>
    </w:p>
    <w:p w14:paraId="6F222BB4" w14:textId="77777777" w:rsidR="00160D79" w:rsidRPr="001E0932" w:rsidRDefault="00224D70" w:rsidP="00CF3C0F">
      <w:pPr>
        <w:spacing w:line="480" w:lineRule="auto"/>
        <w:ind w:hanging="720"/>
        <w:jc w:val="both"/>
        <w:rPr>
          <w:rFonts w:ascii="Times New Roman" w:hAnsi="Times New Roman" w:cs="Times New Roman"/>
          <w:sz w:val="24"/>
          <w:szCs w:val="24"/>
          <w:lang w:val="fr-FR"/>
        </w:rPr>
      </w:pPr>
      <w:r w:rsidRPr="001E0932">
        <w:rPr>
          <w:rFonts w:ascii="Times New Roman" w:hAnsi="Times New Roman" w:cs="Times New Roman"/>
          <w:sz w:val="24"/>
          <w:szCs w:val="24"/>
          <w:lang w:val="fr-FR"/>
        </w:rPr>
        <w:t xml:space="preserve">Djavadi, Négar. </w:t>
      </w:r>
      <w:r w:rsidRPr="001E0932">
        <w:rPr>
          <w:rFonts w:ascii="Times New Roman" w:hAnsi="Times New Roman" w:cs="Times New Roman"/>
          <w:i/>
          <w:iCs/>
          <w:sz w:val="24"/>
          <w:szCs w:val="24"/>
          <w:lang w:val="fr-FR"/>
        </w:rPr>
        <w:t xml:space="preserve">Désorientale. </w:t>
      </w:r>
      <w:r w:rsidRPr="001E0932">
        <w:rPr>
          <w:rFonts w:ascii="Times New Roman" w:hAnsi="Times New Roman" w:cs="Times New Roman"/>
          <w:sz w:val="24"/>
          <w:szCs w:val="24"/>
          <w:lang w:val="fr-FR"/>
        </w:rPr>
        <w:t>Éditions Liana Levi, 2016.</w:t>
      </w:r>
    </w:p>
    <w:p w14:paraId="0CF39467" w14:textId="77777777" w:rsidR="00160D79" w:rsidRPr="001E0932" w:rsidRDefault="00224D70" w:rsidP="00CF3C0F">
      <w:pPr>
        <w:spacing w:line="480" w:lineRule="auto"/>
        <w:ind w:hanging="720"/>
        <w:jc w:val="both"/>
        <w:rPr>
          <w:rFonts w:ascii="Times New Roman" w:hAnsi="Times New Roman" w:cs="Times New Roman"/>
          <w:sz w:val="24"/>
          <w:szCs w:val="24"/>
          <w:lang w:val="en-AU"/>
        </w:rPr>
      </w:pPr>
      <w:r w:rsidRPr="001E0932">
        <w:rPr>
          <w:rFonts w:ascii="Times New Roman" w:hAnsi="Times New Roman" w:cs="Times New Roman"/>
          <w:sz w:val="24"/>
          <w:szCs w:val="24"/>
          <w:lang w:val="en-AU"/>
        </w:rPr>
        <w:t xml:space="preserve">Frank, Søren. </w:t>
      </w:r>
      <w:r w:rsidRPr="001E0932">
        <w:rPr>
          <w:rFonts w:ascii="Times New Roman" w:hAnsi="Times New Roman" w:cs="Times New Roman"/>
          <w:i/>
          <w:sz w:val="24"/>
          <w:szCs w:val="24"/>
          <w:lang w:val="en-AU"/>
        </w:rPr>
        <w:t>Migration and Literature: Günter Grass, Milan Kundera, Salman Rushdie, and Jan Kjærstad</w:t>
      </w:r>
      <w:r w:rsidRPr="001E0932">
        <w:rPr>
          <w:rFonts w:ascii="Times New Roman" w:hAnsi="Times New Roman" w:cs="Times New Roman"/>
          <w:sz w:val="24"/>
          <w:szCs w:val="24"/>
          <w:lang w:val="en-AU"/>
        </w:rPr>
        <w:t>. Palgrave Macmillan, 2008.</w:t>
      </w:r>
    </w:p>
    <w:p w14:paraId="7790D834" w14:textId="1BAAC154"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en-AU"/>
        </w:rPr>
        <w:t>Garofalo, Piero</w:t>
      </w:r>
      <w:r w:rsidR="00006F3C" w:rsidRPr="001E0932">
        <w:rPr>
          <w:rFonts w:ascii="Times New Roman" w:hAnsi="Times New Roman" w:cs="Times New Roman"/>
          <w:sz w:val="24"/>
          <w:szCs w:val="24"/>
          <w:lang w:val="en-AU"/>
        </w:rPr>
        <w:t>, et al</w:t>
      </w:r>
      <w:r w:rsidRPr="001E0932">
        <w:rPr>
          <w:rFonts w:ascii="Times New Roman" w:hAnsi="Times New Roman" w:cs="Times New Roman"/>
          <w:sz w:val="24"/>
          <w:szCs w:val="24"/>
          <w:lang w:val="en-AU"/>
        </w:rPr>
        <w:t xml:space="preserve">. </w:t>
      </w:r>
      <w:r w:rsidRPr="001E0932">
        <w:rPr>
          <w:rFonts w:ascii="Times New Roman" w:hAnsi="Times New Roman" w:cs="Times New Roman"/>
          <w:i/>
          <w:sz w:val="24"/>
          <w:szCs w:val="24"/>
        </w:rPr>
        <w:t xml:space="preserve">Internal Exile in Fascist Italy: History and Representations of </w:t>
      </w:r>
      <w:r w:rsidRPr="001E0932">
        <w:rPr>
          <w:rFonts w:ascii="Times New Roman" w:hAnsi="Times New Roman" w:cs="Times New Roman"/>
          <w:sz w:val="24"/>
          <w:szCs w:val="24"/>
        </w:rPr>
        <w:t>Confino. Manchester UP, 2019.</w:t>
      </w:r>
    </w:p>
    <w:p w14:paraId="0AC34A37"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Gurnah, Abdulrazak. </w:t>
      </w:r>
      <w:r w:rsidRPr="001E0932">
        <w:rPr>
          <w:rFonts w:ascii="Times New Roman" w:hAnsi="Times New Roman" w:cs="Times New Roman"/>
          <w:i/>
          <w:sz w:val="24"/>
          <w:szCs w:val="24"/>
        </w:rPr>
        <w:t>By the Sea</w:t>
      </w:r>
      <w:r w:rsidRPr="001E0932">
        <w:rPr>
          <w:rFonts w:ascii="Times New Roman" w:hAnsi="Times New Roman" w:cs="Times New Roman"/>
          <w:sz w:val="24"/>
          <w:szCs w:val="24"/>
        </w:rPr>
        <w:t>. Bloomsbury, 2001.</w:t>
      </w:r>
    </w:p>
    <w:p w14:paraId="0102D51C"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 </w:t>
      </w:r>
      <w:r w:rsidRPr="001E0932">
        <w:rPr>
          <w:rFonts w:ascii="Times New Roman" w:hAnsi="Times New Roman" w:cs="Times New Roman"/>
          <w:i/>
          <w:sz w:val="24"/>
          <w:szCs w:val="24"/>
        </w:rPr>
        <w:t>Paradise</w:t>
      </w:r>
      <w:r w:rsidRPr="001E0932">
        <w:rPr>
          <w:rFonts w:ascii="Times New Roman" w:hAnsi="Times New Roman" w:cs="Times New Roman"/>
          <w:sz w:val="24"/>
          <w:szCs w:val="24"/>
        </w:rPr>
        <w:t xml:space="preserve">. </w:t>
      </w:r>
      <w:r w:rsidRPr="001E0932">
        <w:rPr>
          <w:rFonts w:ascii="Times New Roman" w:hAnsi="Times New Roman" w:cs="Times New Roman"/>
          <w:iCs/>
          <w:sz w:val="24"/>
          <w:szCs w:val="24"/>
        </w:rPr>
        <w:t xml:space="preserve">Hamish Hamilton, </w:t>
      </w:r>
      <w:r w:rsidRPr="001E0932">
        <w:rPr>
          <w:rFonts w:ascii="Times New Roman" w:hAnsi="Times New Roman" w:cs="Times New Roman"/>
          <w:sz w:val="24"/>
          <w:szCs w:val="24"/>
        </w:rPr>
        <w:t>1994.</w:t>
      </w:r>
    </w:p>
    <w:p w14:paraId="64B63E54" w14:textId="77777777" w:rsidR="00160D79"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Hanne, Michael. “Creativity and Exile: An Introduction.” </w:t>
      </w:r>
      <w:r w:rsidRPr="001E0932">
        <w:rPr>
          <w:rFonts w:ascii="Times New Roman" w:hAnsi="Times New Roman" w:cs="Times New Roman"/>
          <w:i/>
          <w:sz w:val="24"/>
          <w:szCs w:val="24"/>
        </w:rPr>
        <w:t>Creativity in Exile</w:t>
      </w:r>
      <w:r w:rsidRPr="001E0932">
        <w:rPr>
          <w:rFonts w:ascii="Times New Roman" w:hAnsi="Times New Roman" w:cs="Times New Roman"/>
          <w:sz w:val="24"/>
          <w:szCs w:val="24"/>
        </w:rPr>
        <w:t>, edited by Michael Hanne, Éditions Rodopi, 2004, pp. 1-12.</w:t>
      </w:r>
    </w:p>
    <w:p w14:paraId="376534D5" w14:textId="254B6C89" w:rsidR="000414BA" w:rsidRDefault="000414BA" w:rsidP="00CF3C0F">
      <w:pPr>
        <w:spacing w:line="480" w:lineRule="auto"/>
        <w:ind w:hanging="720"/>
        <w:jc w:val="both"/>
        <w:rPr>
          <w:rFonts w:ascii="Times New Roman" w:hAnsi="Times New Roman" w:cs="Times New Roman"/>
          <w:sz w:val="24"/>
          <w:szCs w:val="24"/>
        </w:rPr>
      </w:pPr>
      <w:r w:rsidRPr="000414BA">
        <w:rPr>
          <w:rFonts w:ascii="Times New Roman" w:hAnsi="Times New Roman" w:cs="Times New Roman"/>
          <w:sz w:val="24"/>
          <w:szCs w:val="24"/>
        </w:rPr>
        <w:t>Herndon, Gerise. “Returns to Native Lands, Reclaiming the Other’s Language: Kincaid and Danticat</w:t>
      </w:r>
      <w:r>
        <w:rPr>
          <w:rFonts w:ascii="Times New Roman" w:hAnsi="Times New Roman" w:cs="Times New Roman"/>
          <w:sz w:val="24"/>
          <w:szCs w:val="24"/>
        </w:rPr>
        <w:t>.</w:t>
      </w:r>
      <w:r w:rsidRPr="000414BA">
        <w:rPr>
          <w:rFonts w:ascii="Times New Roman" w:hAnsi="Times New Roman" w:cs="Times New Roman"/>
          <w:sz w:val="24"/>
          <w:szCs w:val="24"/>
        </w:rPr>
        <w:t xml:space="preserve">” </w:t>
      </w:r>
      <w:r w:rsidRPr="00985958">
        <w:rPr>
          <w:rFonts w:ascii="Times New Roman" w:hAnsi="Times New Roman" w:cs="Times New Roman"/>
          <w:i/>
          <w:iCs/>
          <w:sz w:val="24"/>
          <w:szCs w:val="24"/>
        </w:rPr>
        <w:t>Journal of International Women’s Studies</w:t>
      </w:r>
      <w:r w:rsidRPr="000414BA">
        <w:rPr>
          <w:rFonts w:ascii="Times New Roman" w:hAnsi="Times New Roman" w:cs="Times New Roman"/>
          <w:sz w:val="24"/>
          <w:szCs w:val="24"/>
        </w:rPr>
        <w:t>, vol. 3, no. 1, 2001, pp. 54-62.</w:t>
      </w:r>
    </w:p>
    <w:p w14:paraId="7701DF3E" w14:textId="0648B3B3" w:rsidR="00D37857" w:rsidRDefault="004001C8" w:rsidP="00CF3C0F">
      <w:pPr>
        <w:spacing w:line="480" w:lineRule="auto"/>
        <w:ind w:hanging="720"/>
        <w:jc w:val="both"/>
        <w:rPr>
          <w:rFonts w:ascii="Times New Roman" w:hAnsi="Times New Roman" w:cs="Times New Roman"/>
          <w:sz w:val="24"/>
          <w:szCs w:val="24"/>
        </w:rPr>
      </w:pPr>
      <w:r w:rsidRPr="004001C8">
        <w:rPr>
          <w:rFonts w:ascii="Times New Roman" w:hAnsi="Times New Roman" w:cs="Times New Roman"/>
          <w:sz w:val="24"/>
          <w:szCs w:val="24"/>
        </w:rPr>
        <w:t>Hoffman, Eva</w:t>
      </w:r>
      <w:r w:rsidRPr="004001C8">
        <w:rPr>
          <w:rFonts w:ascii="Times New Roman" w:hAnsi="Times New Roman" w:cs="Times New Roman"/>
          <w:i/>
          <w:iCs/>
          <w:sz w:val="24"/>
          <w:szCs w:val="24"/>
        </w:rPr>
        <w:t>. Lost in Translation: A Life in a New Language</w:t>
      </w:r>
      <w:r w:rsidRPr="004001C8">
        <w:rPr>
          <w:rFonts w:ascii="Times New Roman" w:hAnsi="Times New Roman" w:cs="Times New Roman"/>
          <w:sz w:val="24"/>
          <w:szCs w:val="24"/>
        </w:rPr>
        <w:t>. Minerva, 1991.</w:t>
      </w:r>
    </w:p>
    <w:p w14:paraId="3911CB23" w14:textId="1A158595" w:rsidR="00F16E67" w:rsidRPr="001E0932" w:rsidRDefault="003E0D5D" w:rsidP="00CF3C0F">
      <w:pPr>
        <w:spacing w:line="480" w:lineRule="auto"/>
        <w:ind w:hanging="720"/>
        <w:jc w:val="both"/>
        <w:rPr>
          <w:rFonts w:ascii="Times New Roman" w:hAnsi="Times New Roman" w:cs="Times New Roman"/>
          <w:sz w:val="24"/>
          <w:szCs w:val="24"/>
        </w:rPr>
      </w:pPr>
      <w:r w:rsidRPr="003E0D5D">
        <w:rPr>
          <w:rFonts w:ascii="Times New Roman" w:hAnsi="Times New Roman" w:cs="Times New Roman"/>
          <w:sz w:val="24"/>
          <w:szCs w:val="24"/>
        </w:rPr>
        <w:lastRenderedPageBreak/>
        <w:t xml:space="preserve">Hron, Madelaine. </w:t>
      </w:r>
      <w:r w:rsidRPr="003E0D5D">
        <w:rPr>
          <w:rFonts w:ascii="Times New Roman" w:hAnsi="Times New Roman" w:cs="Times New Roman"/>
          <w:i/>
          <w:iCs/>
          <w:sz w:val="24"/>
          <w:szCs w:val="24"/>
        </w:rPr>
        <w:t>Translating Pain: Immigrant Suffering in Literature and Culture</w:t>
      </w:r>
      <w:r w:rsidRPr="003E0D5D">
        <w:rPr>
          <w:rFonts w:ascii="Times New Roman" w:hAnsi="Times New Roman" w:cs="Times New Roman"/>
          <w:sz w:val="24"/>
          <w:szCs w:val="24"/>
        </w:rPr>
        <w:t>. University of Toronto P, 2009.</w:t>
      </w:r>
    </w:p>
    <w:p w14:paraId="3E820E55" w14:textId="154EDD84"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Israel, Nico. </w:t>
      </w:r>
      <w:r w:rsidRPr="001E0932">
        <w:rPr>
          <w:rFonts w:ascii="Times New Roman" w:hAnsi="Times New Roman" w:cs="Times New Roman"/>
          <w:i/>
          <w:sz w:val="24"/>
          <w:szCs w:val="24"/>
        </w:rPr>
        <w:t>Outlandish: Writing Between Exile and Diaspora</w:t>
      </w:r>
      <w:r w:rsidRPr="001E0932">
        <w:rPr>
          <w:rFonts w:ascii="Times New Roman" w:hAnsi="Times New Roman" w:cs="Times New Roman"/>
          <w:sz w:val="24"/>
          <w:szCs w:val="24"/>
        </w:rPr>
        <w:t>. Stanford UP, 2000.</w:t>
      </w:r>
    </w:p>
    <w:p w14:paraId="1E6CB4D0"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Jato, Mónica, and John Klapper. </w:t>
      </w:r>
      <w:r w:rsidRPr="001E0932">
        <w:rPr>
          <w:rFonts w:ascii="Times New Roman" w:hAnsi="Times New Roman" w:cs="Times New Roman"/>
          <w:i/>
          <w:sz w:val="24"/>
          <w:szCs w:val="24"/>
        </w:rPr>
        <w:t>Fractured Frontiers: The Exile Writing of Nazi Germany and Francoist Spain</w:t>
      </w:r>
      <w:r w:rsidRPr="001E0932">
        <w:rPr>
          <w:rFonts w:ascii="Times New Roman" w:hAnsi="Times New Roman" w:cs="Times New Roman"/>
          <w:sz w:val="24"/>
          <w:szCs w:val="24"/>
        </w:rPr>
        <w:t>. Camden House, 2020.</w:t>
      </w:r>
    </w:p>
    <w:p w14:paraId="4B61528C" w14:textId="7338176A" w:rsidR="00160D79" w:rsidRPr="001E0932" w:rsidRDefault="00224D70" w:rsidP="00CF3C0F">
      <w:pPr>
        <w:spacing w:line="480" w:lineRule="auto"/>
        <w:ind w:hanging="720"/>
        <w:jc w:val="both"/>
        <w:rPr>
          <w:rFonts w:ascii="Times New Roman" w:hAnsi="Times New Roman" w:cs="Times New Roman"/>
          <w:sz w:val="24"/>
          <w:szCs w:val="24"/>
          <w:lang w:val="de-DE"/>
        </w:rPr>
      </w:pPr>
      <w:r w:rsidRPr="001E0932">
        <w:rPr>
          <w:rFonts w:ascii="Times New Roman" w:hAnsi="Times New Roman" w:cs="Times New Roman"/>
          <w:sz w:val="24"/>
          <w:szCs w:val="24"/>
        </w:rPr>
        <w:t xml:space="preserve">Kelly, Gordon P. </w:t>
      </w:r>
      <w:r w:rsidRPr="001E0932">
        <w:rPr>
          <w:rFonts w:ascii="Times New Roman" w:hAnsi="Times New Roman" w:cs="Times New Roman"/>
          <w:i/>
          <w:iCs/>
          <w:sz w:val="24"/>
          <w:szCs w:val="24"/>
        </w:rPr>
        <w:t>A History of Exile in the Roman Republic</w:t>
      </w:r>
      <w:r w:rsidRPr="001E0932">
        <w:rPr>
          <w:rFonts w:ascii="Times New Roman" w:hAnsi="Times New Roman" w:cs="Times New Roman"/>
          <w:sz w:val="24"/>
          <w:szCs w:val="24"/>
        </w:rPr>
        <w:t xml:space="preserve">. </w:t>
      </w:r>
      <w:r w:rsidRPr="001E0932">
        <w:rPr>
          <w:rFonts w:ascii="Times New Roman" w:hAnsi="Times New Roman" w:cs="Times New Roman"/>
          <w:sz w:val="24"/>
          <w:szCs w:val="24"/>
          <w:lang w:val="de-DE"/>
        </w:rPr>
        <w:t>Cambridge UP, 2006.</w:t>
      </w:r>
    </w:p>
    <w:p w14:paraId="6FA8AD88" w14:textId="77777777" w:rsidR="00160D79" w:rsidRPr="001E0932" w:rsidRDefault="00224D70" w:rsidP="00CF3C0F">
      <w:pPr>
        <w:spacing w:line="480" w:lineRule="auto"/>
        <w:ind w:hanging="720"/>
        <w:jc w:val="both"/>
        <w:rPr>
          <w:rFonts w:ascii="Times New Roman" w:hAnsi="Times New Roman" w:cs="Times New Roman"/>
          <w:sz w:val="24"/>
          <w:szCs w:val="24"/>
          <w:lang w:val="en-US"/>
        </w:rPr>
      </w:pPr>
      <w:r w:rsidRPr="001E0932">
        <w:rPr>
          <w:rFonts w:ascii="Times New Roman" w:hAnsi="Times New Roman" w:cs="Times New Roman"/>
          <w:sz w:val="24"/>
          <w:szCs w:val="24"/>
          <w:lang w:val="de-DE"/>
        </w:rPr>
        <w:t xml:space="preserve">Khadir, Abbas. </w:t>
      </w:r>
      <w:r w:rsidRPr="001E0932">
        <w:rPr>
          <w:rFonts w:ascii="Times New Roman" w:hAnsi="Times New Roman" w:cs="Times New Roman"/>
          <w:i/>
          <w:sz w:val="24"/>
          <w:szCs w:val="24"/>
          <w:lang w:val="de-DE"/>
        </w:rPr>
        <w:t xml:space="preserve">Der falsche Inder. </w:t>
      </w:r>
      <w:r w:rsidRPr="001E0932">
        <w:rPr>
          <w:rFonts w:ascii="Times New Roman" w:hAnsi="Times New Roman" w:cs="Times New Roman"/>
          <w:sz w:val="24"/>
          <w:szCs w:val="24"/>
          <w:lang w:val="en-US"/>
        </w:rPr>
        <w:t>Edition Nautilus</w:t>
      </w:r>
      <w:r w:rsidRPr="001E0932">
        <w:rPr>
          <w:rFonts w:ascii="Times New Roman" w:hAnsi="Times New Roman" w:cs="Times New Roman"/>
          <w:i/>
          <w:sz w:val="24"/>
          <w:szCs w:val="24"/>
          <w:lang w:val="en-US"/>
        </w:rPr>
        <w:t xml:space="preserve">, </w:t>
      </w:r>
      <w:r w:rsidRPr="001E0932">
        <w:rPr>
          <w:rFonts w:ascii="Times New Roman" w:hAnsi="Times New Roman" w:cs="Times New Roman"/>
          <w:sz w:val="24"/>
          <w:szCs w:val="24"/>
          <w:lang w:val="en-US"/>
        </w:rPr>
        <w:t>2008.</w:t>
      </w:r>
    </w:p>
    <w:p w14:paraId="35163118" w14:textId="14D5C4F2"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en-ZA"/>
        </w:rPr>
        <w:t xml:space="preserve">Kosmalska, Joanna. </w:t>
      </w:r>
      <w:r w:rsidRPr="001E0932">
        <w:rPr>
          <w:rFonts w:ascii="Times New Roman" w:hAnsi="Times New Roman" w:cs="Times New Roman"/>
          <w:sz w:val="24"/>
          <w:szCs w:val="24"/>
        </w:rPr>
        <w:t xml:space="preserve">“Defining Migration Writing.” </w:t>
      </w:r>
      <w:r w:rsidRPr="001E0932">
        <w:rPr>
          <w:rFonts w:ascii="Times New Roman" w:hAnsi="Times New Roman" w:cs="Times New Roman"/>
          <w:i/>
          <w:sz w:val="24"/>
          <w:szCs w:val="24"/>
        </w:rPr>
        <w:t>Journal of Literary Theory</w:t>
      </w:r>
      <w:r w:rsidRPr="001E0932">
        <w:rPr>
          <w:rFonts w:ascii="Times New Roman" w:hAnsi="Times New Roman" w:cs="Times New Roman"/>
          <w:sz w:val="24"/>
          <w:szCs w:val="24"/>
        </w:rPr>
        <w:t xml:space="preserve">, vol. 16, no. 2, 2022, </w:t>
      </w:r>
      <w:r w:rsidR="009626C4" w:rsidRPr="001E0932">
        <w:rPr>
          <w:rFonts w:ascii="Times New Roman" w:hAnsi="Times New Roman" w:cs="Times New Roman"/>
          <w:sz w:val="24"/>
          <w:szCs w:val="24"/>
        </w:rPr>
        <w:t xml:space="preserve">pp. </w:t>
      </w:r>
      <w:r w:rsidRPr="001E0932">
        <w:rPr>
          <w:rFonts w:ascii="Times New Roman" w:hAnsi="Times New Roman" w:cs="Times New Roman"/>
          <w:sz w:val="24"/>
          <w:szCs w:val="24"/>
        </w:rPr>
        <w:t>331-50.</w:t>
      </w:r>
    </w:p>
    <w:p w14:paraId="2F6634C5" w14:textId="19F56A0B"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Kristeva, Julia. “A New Type of Intellectual: The Dissident.” </w:t>
      </w:r>
      <w:r w:rsidRPr="001E0932">
        <w:rPr>
          <w:rFonts w:ascii="Times New Roman" w:hAnsi="Times New Roman" w:cs="Times New Roman"/>
          <w:i/>
          <w:sz w:val="24"/>
          <w:szCs w:val="24"/>
        </w:rPr>
        <w:t>The Kristeva Reader</w:t>
      </w:r>
      <w:r w:rsidRPr="001E0932">
        <w:rPr>
          <w:rFonts w:ascii="Times New Roman" w:hAnsi="Times New Roman" w:cs="Times New Roman"/>
          <w:sz w:val="24"/>
          <w:szCs w:val="24"/>
        </w:rPr>
        <w:t>, edited by Toril Moi, Blackwell Publishers, 1986, pp. 293-300.</w:t>
      </w:r>
    </w:p>
    <w:p w14:paraId="7F03353E" w14:textId="7777777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fr-FR"/>
        </w:rPr>
        <w:t xml:space="preserve">Laferrière, Dany. </w:t>
      </w:r>
      <w:r w:rsidRPr="001E0932">
        <w:rPr>
          <w:rFonts w:ascii="Times New Roman" w:hAnsi="Times New Roman" w:cs="Times New Roman"/>
          <w:i/>
          <w:sz w:val="24"/>
          <w:szCs w:val="24"/>
          <w:lang w:val="fr-FR"/>
        </w:rPr>
        <w:t>L’Enigme du retour</w:t>
      </w:r>
      <w:r w:rsidRPr="001E0932">
        <w:rPr>
          <w:rFonts w:ascii="Times New Roman" w:hAnsi="Times New Roman" w:cs="Times New Roman"/>
          <w:sz w:val="24"/>
          <w:szCs w:val="24"/>
          <w:lang w:val="fr-FR"/>
        </w:rPr>
        <w:t xml:space="preserve">. </w:t>
      </w:r>
      <w:r w:rsidRPr="001E0932">
        <w:rPr>
          <w:rFonts w:ascii="Times New Roman" w:hAnsi="Times New Roman" w:cs="Times New Roman"/>
          <w:sz w:val="24"/>
          <w:szCs w:val="24"/>
          <w:lang w:val="it-IT"/>
        </w:rPr>
        <w:t>Boréal, 2009.</w:t>
      </w:r>
    </w:p>
    <w:p w14:paraId="391E76E5" w14:textId="77777777" w:rsidR="00160D79" w:rsidRPr="001E0932" w:rsidRDefault="00224D70" w:rsidP="00CF3C0F">
      <w:pPr>
        <w:spacing w:line="480" w:lineRule="auto"/>
        <w:ind w:hanging="720"/>
        <w:jc w:val="both"/>
        <w:rPr>
          <w:rFonts w:ascii="Times New Roman" w:hAnsi="Times New Roman" w:cs="Times New Roman"/>
          <w:sz w:val="24"/>
          <w:szCs w:val="24"/>
          <w:lang w:val="fr-FR"/>
        </w:rPr>
      </w:pPr>
      <w:r w:rsidRPr="001E0932">
        <w:rPr>
          <w:rFonts w:ascii="Times New Roman" w:hAnsi="Times New Roman" w:cs="Times New Roman"/>
          <w:sz w:val="24"/>
          <w:szCs w:val="24"/>
          <w:lang w:val="it-IT"/>
        </w:rPr>
        <w:t xml:space="preserve">Lucarelli, Carlo. </w:t>
      </w:r>
      <w:r w:rsidRPr="001E0932">
        <w:rPr>
          <w:rFonts w:ascii="Times New Roman" w:hAnsi="Times New Roman" w:cs="Times New Roman"/>
          <w:i/>
          <w:sz w:val="24"/>
          <w:szCs w:val="24"/>
          <w:lang w:val="it-IT"/>
        </w:rPr>
        <w:t>L'isola dell’angelo caduto.</w:t>
      </w:r>
      <w:r w:rsidRPr="001E0932">
        <w:rPr>
          <w:rFonts w:ascii="Times New Roman" w:hAnsi="Times New Roman" w:cs="Times New Roman"/>
          <w:sz w:val="24"/>
          <w:szCs w:val="24"/>
          <w:lang w:val="it-IT"/>
        </w:rPr>
        <w:t xml:space="preserve"> </w:t>
      </w:r>
      <w:r w:rsidRPr="001E0932">
        <w:rPr>
          <w:rFonts w:ascii="Times New Roman" w:hAnsi="Times New Roman" w:cs="Times New Roman"/>
          <w:sz w:val="24"/>
          <w:szCs w:val="24"/>
          <w:lang w:val="fr-FR"/>
        </w:rPr>
        <w:t>Einaudi, 1999.</w:t>
      </w:r>
    </w:p>
    <w:p w14:paraId="60C41445"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fr-FR"/>
        </w:rPr>
        <w:t xml:space="preserve">Mabanckou, Alain. </w:t>
      </w:r>
      <w:r w:rsidRPr="001E0932">
        <w:rPr>
          <w:rFonts w:ascii="Times New Roman" w:hAnsi="Times New Roman" w:cs="Times New Roman"/>
          <w:i/>
          <w:sz w:val="24"/>
          <w:szCs w:val="24"/>
          <w:lang w:val="fr-FR"/>
        </w:rPr>
        <w:t>Lumières de Pointe-Noire</w:t>
      </w:r>
      <w:r w:rsidRPr="001E0932">
        <w:rPr>
          <w:rFonts w:ascii="Times New Roman" w:hAnsi="Times New Roman" w:cs="Times New Roman"/>
          <w:sz w:val="24"/>
          <w:szCs w:val="24"/>
          <w:lang w:val="fr-FR"/>
        </w:rPr>
        <w:t xml:space="preserve">. </w:t>
      </w:r>
      <w:r w:rsidRPr="001E0932">
        <w:rPr>
          <w:rFonts w:ascii="Times New Roman" w:hAnsi="Times New Roman" w:cs="Times New Roman"/>
          <w:sz w:val="24"/>
          <w:szCs w:val="24"/>
        </w:rPr>
        <w:t>Seuil, 2013.</w:t>
      </w:r>
    </w:p>
    <w:p w14:paraId="5D4A762E"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Mardorossian, Carine M. “From Literature of Exile to Migrant Literature.” </w:t>
      </w:r>
      <w:r w:rsidRPr="001E0932">
        <w:rPr>
          <w:rFonts w:ascii="Times New Roman" w:hAnsi="Times New Roman" w:cs="Times New Roman"/>
          <w:i/>
          <w:sz w:val="24"/>
          <w:szCs w:val="24"/>
        </w:rPr>
        <w:t>Modern Language Studies</w:t>
      </w:r>
      <w:r w:rsidRPr="001E0932">
        <w:rPr>
          <w:rFonts w:ascii="Times New Roman" w:hAnsi="Times New Roman" w:cs="Times New Roman"/>
          <w:sz w:val="24"/>
          <w:szCs w:val="24"/>
        </w:rPr>
        <w:t>, vol. 32, no. 2, 2002, pp. 15-33.</w:t>
      </w:r>
    </w:p>
    <w:p w14:paraId="0CA497C2" w14:textId="5C422670" w:rsidR="00160D79"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McClennen, Sophia A. </w:t>
      </w:r>
      <w:r w:rsidRPr="001E0932">
        <w:rPr>
          <w:rFonts w:ascii="Times New Roman" w:hAnsi="Times New Roman" w:cs="Times New Roman"/>
          <w:i/>
          <w:sz w:val="24"/>
          <w:szCs w:val="24"/>
        </w:rPr>
        <w:t>The Dialectics of Exile: Nation, Time, Language, and Space in Hispanic Literatures</w:t>
      </w:r>
      <w:r w:rsidRPr="001E0932">
        <w:rPr>
          <w:rFonts w:ascii="Times New Roman" w:hAnsi="Times New Roman" w:cs="Times New Roman"/>
          <w:sz w:val="24"/>
          <w:szCs w:val="24"/>
        </w:rPr>
        <w:t>. Purdue UP, 2004.</w:t>
      </w:r>
    </w:p>
    <w:p w14:paraId="4A4319A3" w14:textId="5191EF04" w:rsidR="00746042" w:rsidRDefault="00746042" w:rsidP="00CF3C0F">
      <w:pPr>
        <w:spacing w:line="480" w:lineRule="auto"/>
        <w:ind w:hanging="720"/>
        <w:jc w:val="both"/>
        <w:rPr>
          <w:rFonts w:ascii="Times New Roman" w:hAnsi="Times New Roman" w:cs="Times New Roman"/>
          <w:sz w:val="24"/>
        </w:rPr>
      </w:pPr>
      <w:r>
        <w:rPr>
          <w:rFonts w:ascii="Times New Roman" w:hAnsi="Times New Roman" w:cs="Times New Roman"/>
          <w:sz w:val="24"/>
          <w:szCs w:val="24"/>
        </w:rPr>
        <w:t xml:space="preserve">Milton, John. </w:t>
      </w:r>
      <w:r w:rsidRPr="00746042">
        <w:rPr>
          <w:rFonts w:ascii="Times New Roman" w:hAnsi="Times New Roman" w:cs="Times New Roman"/>
          <w:i/>
          <w:iCs/>
          <w:sz w:val="24"/>
          <w:szCs w:val="24"/>
        </w:rPr>
        <w:t>Paradise Lost</w:t>
      </w:r>
      <w:r>
        <w:rPr>
          <w:rFonts w:ascii="Times New Roman" w:hAnsi="Times New Roman" w:cs="Times New Roman"/>
          <w:sz w:val="24"/>
          <w:szCs w:val="24"/>
        </w:rPr>
        <w:t xml:space="preserve">. </w:t>
      </w:r>
      <w:r w:rsidR="00375B93">
        <w:rPr>
          <w:rFonts w:ascii="Times New Roman" w:hAnsi="Times New Roman" w:cs="Times New Roman"/>
          <w:sz w:val="24"/>
          <w:szCs w:val="24"/>
        </w:rPr>
        <w:t>University of Virginia</w:t>
      </w:r>
      <w:r w:rsidR="000D4BDD">
        <w:rPr>
          <w:rFonts w:ascii="Times New Roman" w:hAnsi="Times New Roman" w:cs="Times New Roman"/>
          <w:sz w:val="24"/>
          <w:szCs w:val="24"/>
        </w:rPr>
        <w:t xml:space="preserve"> P, 1996 [</w:t>
      </w:r>
      <w:r w:rsidR="000D4BDD">
        <w:rPr>
          <w:rFonts w:ascii="Times New Roman" w:hAnsi="Times New Roman" w:cs="Times New Roman"/>
          <w:sz w:val="24"/>
        </w:rPr>
        <w:t>1608-1674</w:t>
      </w:r>
      <w:r w:rsidR="000D4BDD">
        <w:rPr>
          <w:rFonts w:ascii="Times New Roman" w:hAnsi="Times New Roman" w:cs="Times New Roman"/>
          <w:sz w:val="24"/>
        </w:rPr>
        <w:t>].</w:t>
      </w:r>
    </w:p>
    <w:p w14:paraId="62B5C6BD" w14:textId="231C31DE" w:rsidR="00F51075" w:rsidRPr="001E0932" w:rsidRDefault="00F51075" w:rsidP="00CF3C0F">
      <w:pPr>
        <w:spacing w:line="480" w:lineRule="auto"/>
        <w:ind w:hanging="720"/>
        <w:jc w:val="both"/>
        <w:rPr>
          <w:rFonts w:ascii="Times New Roman" w:hAnsi="Times New Roman" w:cs="Times New Roman"/>
          <w:sz w:val="24"/>
          <w:szCs w:val="24"/>
        </w:rPr>
      </w:pPr>
      <w:r>
        <w:rPr>
          <w:rFonts w:ascii="Times New Roman" w:hAnsi="Times New Roman" w:cs="Times New Roman"/>
          <w:sz w:val="24"/>
        </w:rPr>
        <w:t>Mitchell, Katharyne. “Different Diasporas and the</w:t>
      </w:r>
      <w:r w:rsidR="00BA7883">
        <w:rPr>
          <w:rFonts w:ascii="Times New Roman" w:hAnsi="Times New Roman" w:cs="Times New Roman"/>
          <w:sz w:val="24"/>
        </w:rPr>
        <w:t xml:space="preserve"> Hype of Hybridity.” </w:t>
      </w:r>
      <w:r w:rsidR="00BA7883" w:rsidRPr="00F16E67">
        <w:rPr>
          <w:rFonts w:ascii="Times New Roman" w:hAnsi="Times New Roman" w:cs="Times New Roman"/>
          <w:i/>
          <w:iCs/>
          <w:sz w:val="24"/>
        </w:rPr>
        <w:t>Environment and Planning D: Society and Space</w:t>
      </w:r>
      <w:r w:rsidR="00154256">
        <w:rPr>
          <w:rFonts w:ascii="Times New Roman" w:hAnsi="Times New Roman" w:cs="Times New Roman"/>
          <w:sz w:val="24"/>
        </w:rPr>
        <w:t>, vol. 15, no. 5, 1997, pp. 533-</w:t>
      </w:r>
      <w:r w:rsidR="00F16E67">
        <w:rPr>
          <w:rFonts w:ascii="Times New Roman" w:hAnsi="Times New Roman" w:cs="Times New Roman"/>
          <w:sz w:val="24"/>
        </w:rPr>
        <w:t>53.</w:t>
      </w:r>
    </w:p>
    <w:p w14:paraId="215EA72C"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lastRenderedPageBreak/>
        <w:t xml:space="preserve">Mizumura, Minae. </w:t>
      </w:r>
      <w:r w:rsidRPr="001E0932">
        <w:rPr>
          <w:rFonts w:ascii="Times New Roman" w:hAnsi="Times New Roman" w:cs="Times New Roman"/>
          <w:i/>
          <w:sz w:val="24"/>
          <w:szCs w:val="24"/>
        </w:rPr>
        <w:t xml:space="preserve">An I-Novel. </w:t>
      </w:r>
      <w:r w:rsidRPr="001E0932">
        <w:rPr>
          <w:rFonts w:ascii="Times New Roman" w:hAnsi="Times New Roman" w:cs="Times New Roman"/>
          <w:sz w:val="24"/>
          <w:szCs w:val="24"/>
        </w:rPr>
        <w:t>Shinchosha Publishing, 1995.</w:t>
      </w:r>
    </w:p>
    <w:p w14:paraId="47401794" w14:textId="77777777" w:rsidR="00160D79" w:rsidRPr="004B36BD" w:rsidRDefault="00224D70" w:rsidP="00CF3C0F">
      <w:pPr>
        <w:spacing w:line="480" w:lineRule="auto"/>
        <w:ind w:hanging="720"/>
        <w:jc w:val="both"/>
        <w:rPr>
          <w:rFonts w:ascii="Times New Roman" w:hAnsi="Times New Roman" w:cs="Times New Roman"/>
          <w:sz w:val="24"/>
          <w:szCs w:val="24"/>
          <w:lang w:val="fr-FR"/>
        </w:rPr>
      </w:pPr>
      <w:r w:rsidRPr="004C627D">
        <w:rPr>
          <w:rFonts w:ascii="Times New Roman" w:hAnsi="Times New Roman" w:cs="Times New Roman"/>
          <w:sz w:val="24"/>
          <w:szCs w:val="24"/>
          <w:lang w:val="en-US"/>
        </w:rPr>
        <w:t xml:space="preserve">Mokeddem, Malika. </w:t>
      </w:r>
      <w:r w:rsidRPr="004C627D">
        <w:rPr>
          <w:rFonts w:ascii="Times New Roman" w:hAnsi="Times New Roman" w:cs="Times New Roman"/>
          <w:i/>
          <w:sz w:val="24"/>
          <w:szCs w:val="24"/>
          <w:lang w:val="en-US"/>
        </w:rPr>
        <w:t>L’Interdite</w:t>
      </w:r>
      <w:r w:rsidRPr="004C627D">
        <w:rPr>
          <w:rFonts w:ascii="Times New Roman" w:hAnsi="Times New Roman" w:cs="Times New Roman"/>
          <w:sz w:val="24"/>
          <w:szCs w:val="24"/>
          <w:lang w:val="en-US"/>
        </w:rPr>
        <w:t xml:space="preserve">. </w:t>
      </w:r>
      <w:r w:rsidRPr="004B36BD">
        <w:rPr>
          <w:rFonts w:ascii="Times New Roman" w:hAnsi="Times New Roman" w:cs="Times New Roman"/>
          <w:sz w:val="24"/>
          <w:szCs w:val="24"/>
          <w:lang w:val="fr-FR"/>
        </w:rPr>
        <w:t>Grasset, 1993.</w:t>
      </w:r>
    </w:p>
    <w:p w14:paraId="00D56562" w14:textId="77777777" w:rsidR="00160D79" w:rsidRPr="001E0932" w:rsidRDefault="00224D70" w:rsidP="00CF3C0F">
      <w:pPr>
        <w:spacing w:line="480" w:lineRule="auto"/>
        <w:ind w:hanging="720"/>
        <w:jc w:val="both"/>
        <w:rPr>
          <w:rFonts w:ascii="Times New Roman" w:hAnsi="Times New Roman" w:cs="Times New Roman"/>
          <w:sz w:val="24"/>
          <w:szCs w:val="24"/>
        </w:rPr>
      </w:pPr>
      <w:r w:rsidRPr="004B36BD">
        <w:rPr>
          <w:rFonts w:ascii="Times New Roman" w:hAnsi="Times New Roman" w:cs="Times New Roman"/>
          <w:sz w:val="24"/>
          <w:szCs w:val="24"/>
          <w:lang w:val="fr-FR"/>
        </w:rPr>
        <w:t xml:space="preserve">Munro, Martin. </w:t>
      </w:r>
      <w:r w:rsidRPr="001E0932">
        <w:rPr>
          <w:rFonts w:ascii="Times New Roman" w:hAnsi="Times New Roman" w:cs="Times New Roman"/>
          <w:sz w:val="24"/>
          <w:szCs w:val="24"/>
          <w:lang w:val="fr-FR"/>
        </w:rPr>
        <w:t xml:space="preserve">“Exile, Return and Mourning in Aimé Césaire’s </w:t>
      </w:r>
      <w:r w:rsidRPr="001E0932">
        <w:rPr>
          <w:rFonts w:ascii="Times New Roman" w:hAnsi="Times New Roman" w:cs="Times New Roman"/>
          <w:i/>
          <w:sz w:val="24"/>
          <w:szCs w:val="24"/>
          <w:lang w:val="fr-FR"/>
        </w:rPr>
        <w:t>Cahier d’un retour au pays natal</w:t>
      </w:r>
      <w:r w:rsidRPr="001E0932">
        <w:rPr>
          <w:rFonts w:ascii="Times New Roman" w:hAnsi="Times New Roman" w:cs="Times New Roman"/>
          <w:sz w:val="24"/>
          <w:szCs w:val="24"/>
          <w:lang w:val="fr-FR"/>
        </w:rPr>
        <w:t xml:space="preserve"> and Dany Laferrière’s </w:t>
      </w:r>
      <w:r w:rsidRPr="001E0932">
        <w:rPr>
          <w:rFonts w:ascii="Times New Roman" w:hAnsi="Times New Roman" w:cs="Times New Roman"/>
          <w:i/>
          <w:sz w:val="24"/>
          <w:szCs w:val="24"/>
          <w:lang w:val="fr-FR"/>
        </w:rPr>
        <w:t>L’Énigme du retour</w:t>
      </w:r>
      <w:r w:rsidRPr="001E0932">
        <w:rPr>
          <w:rFonts w:ascii="Times New Roman" w:hAnsi="Times New Roman" w:cs="Times New Roman"/>
          <w:sz w:val="24"/>
          <w:szCs w:val="24"/>
          <w:lang w:val="fr-FR"/>
        </w:rPr>
        <w:t xml:space="preserve">.” </w:t>
      </w:r>
      <w:r w:rsidRPr="001E0932">
        <w:rPr>
          <w:rFonts w:ascii="Times New Roman" w:hAnsi="Times New Roman" w:cs="Times New Roman"/>
          <w:i/>
          <w:sz w:val="24"/>
          <w:szCs w:val="24"/>
        </w:rPr>
        <w:t>Irish Journal of French Studies</w:t>
      </w:r>
      <w:r w:rsidRPr="001E0932">
        <w:rPr>
          <w:rFonts w:ascii="Times New Roman" w:hAnsi="Times New Roman" w:cs="Times New Roman"/>
          <w:sz w:val="24"/>
          <w:szCs w:val="24"/>
        </w:rPr>
        <w:t>, vol. 13, 2013, pp. 87-109.</w:t>
      </w:r>
    </w:p>
    <w:p w14:paraId="159F0133" w14:textId="33826F53"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Naficy, Hamid. “Phobic Spaces and Liminal Panics: Independent Transnational Film Genre.” </w:t>
      </w:r>
      <w:r w:rsidRPr="001E0932">
        <w:rPr>
          <w:rFonts w:ascii="Times New Roman" w:hAnsi="Times New Roman" w:cs="Times New Roman"/>
          <w:i/>
          <w:sz w:val="24"/>
          <w:szCs w:val="24"/>
        </w:rPr>
        <w:t>Global/Local: Cultural Production and the Transnational Imaginary</w:t>
      </w:r>
      <w:r w:rsidRPr="001E0932">
        <w:rPr>
          <w:rFonts w:ascii="Times New Roman" w:hAnsi="Times New Roman" w:cs="Times New Roman"/>
          <w:sz w:val="24"/>
          <w:szCs w:val="24"/>
        </w:rPr>
        <w:t>, edited by Wimal Dissanayake and Rob Wilson, Duke UP, 1996, pp. 119-44.</w:t>
      </w:r>
    </w:p>
    <w:p w14:paraId="0FFDB588" w14:textId="1D5A03B3"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Nobel Prize Outreach. “The Nobel Prize in Literature 2021.” </w:t>
      </w:r>
      <w:hyperlink r:id="rId7" w:tooltip="about:blank" w:history="1">
        <w:r w:rsidRPr="001E0932">
          <w:rPr>
            <w:rStyle w:val="Hyperlink"/>
            <w:rFonts w:ascii="Times New Roman" w:hAnsi="Times New Roman" w:cs="Times New Roman"/>
            <w:sz w:val="24"/>
            <w:szCs w:val="24"/>
          </w:rPr>
          <w:t>https://www.nobelprize.org/prizes/literature/2021/summary/</w:t>
        </w:r>
      </w:hyperlink>
      <w:r w:rsidR="005E5C3D">
        <w:rPr>
          <w:rStyle w:val="Hyperlink"/>
          <w:rFonts w:ascii="Times New Roman" w:hAnsi="Times New Roman" w:cs="Times New Roman"/>
          <w:sz w:val="24"/>
          <w:szCs w:val="24"/>
        </w:rPr>
        <w:t xml:space="preserve"> </w:t>
      </w:r>
      <w:r w:rsidR="0071708D" w:rsidRPr="001E0932">
        <w:rPr>
          <w:rFonts w:ascii="Times New Roman" w:hAnsi="Times New Roman" w:cs="Times New Roman"/>
          <w:sz w:val="24"/>
          <w:szCs w:val="24"/>
        </w:rPr>
        <w:t>A</w:t>
      </w:r>
      <w:r w:rsidRPr="001E0932">
        <w:rPr>
          <w:rFonts w:ascii="Times New Roman" w:hAnsi="Times New Roman" w:cs="Times New Roman"/>
          <w:sz w:val="24"/>
          <w:szCs w:val="24"/>
        </w:rPr>
        <w:t>ccessed 2 March 2023.</w:t>
      </w:r>
    </w:p>
    <w:p w14:paraId="1329E3A2" w14:textId="7450F615"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Orlando, Valérie. </w:t>
      </w:r>
      <w:r w:rsidRPr="001E0932">
        <w:rPr>
          <w:rFonts w:ascii="Times New Roman" w:hAnsi="Times New Roman" w:cs="Times New Roman"/>
          <w:i/>
          <w:sz w:val="24"/>
          <w:szCs w:val="24"/>
        </w:rPr>
        <w:t>Nomadic Voices of Exile: Feminine Identity in Francophone Literature of the Maghreb</w:t>
      </w:r>
      <w:r w:rsidRPr="001E0932">
        <w:rPr>
          <w:rFonts w:ascii="Times New Roman" w:hAnsi="Times New Roman" w:cs="Times New Roman"/>
          <w:sz w:val="24"/>
          <w:szCs w:val="24"/>
        </w:rPr>
        <w:t>. Ohio UP, 1999.</w:t>
      </w:r>
    </w:p>
    <w:p w14:paraId="490E890B" w14:textId="6B3AD6BD" w:rsidR="00160D79" w:rsidRPr="001E0932" w:rsidRDefault="00332BE7"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“Exile.” </w:t>
      </w:r>
      <w:r w:rsidRPr="001E0932">
        <w:rPr>
          <w:rFonts w:ascii="Times New Roman" w:hAnsi="Times New Roman" w:cs="Times New Roman"/>
          <w:i/>
          <w:sz w:val="24"/>
          <w:szCs w:val="24"/>
        </w:rPr>
        <w:t>Oxford English Dictionary</w:t>
      </w:r>
      <w:r w:rsidRPr="001E0932">
        <w:rPr>
          <w:rFonts w:ascii="Times New Roman" w:hAnsi="Times New Roman" w:cs="Times New Roman"/>
          <w:sz w:val="24"/>
          <w:szCs w:val="24"/>
        </w:rPr>
        <w:t xml:space="preserve">, </w:t>
      </w:r>
      <w:hyperlink r:id="rId8" w:anchor="eid" w:tooltip="https://www.oed.com/view/Entry/66231?rskey=t1Kn9f&amp;result=1&amp;isAdvanced=false#eid" w:history="1">
        <w:r w:rsidRPr="001E0932">
          <w:rPr>
            <w:rStyle w:val="Hyperlink"/>
            <w:rFonts w:ascii="Times New Roman" w:hAnsi="Times New Roman" w:cs="Times New Roman"/>
            <w:sz w:val="24"/>
            <w:szCs w:val="24"/>
          </w:rPr>
          <w:t>https://www.oed.com/view/Entry/66231?rskey=t1Kn9f&amp;result=1&amp;isAdvanced=false#eid</w:t>
        </w:r>
      </w:hyperlink>
      <w:r w:rsidR="005E5C3D">
        <w:rPr>
          <w:rFonts w:ascii="Times New Roman" w:hAnsi="Times New Roman" w:cs="Times New Roman"/>
          <w:sz w:val="24"/>
          <w:szCs w:val="24"/>
        </w:rPr>
        <w:t xml:space="preserve"> </w:t>
      </w:r>
      <w:r w:rsidRPr="001E0932">
        <w:rPr>
          <w:rFonts w:ascii="Times New Roman" w:hAnsi="Times New Roman" w:cs="Times New Roman"/>
          <w:sz w:val="24"/>
          <w:szCs w:val="24"/>
        </w:rPr>
        <w:t>Accessed 9 December 2022.</w:t>
      </w:r>
    </w:p>
    <w:p w14:paraId="4DAC3C41" w14:textId="7777777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rPr>
        <w:t xml:space="preserve">Okri, Ben. </w:t>
      </w:r>
      <w:r w:rsidRPr="001E0932">
        <w:rPr>
          <w:rFonts w:ascii="Times New Roman" w:hAnsi="Times New Roman" w:cs="Times New Roman"/>
          <w:i/>
          <w:sz w:val="24"/>
          <w:szCs w:val="24"/>
        </w:rPr>
        <w:t>The Famished Road</w:t>
      </w:r>
      <w:r w:rsidRPr="001E0932">
        <w:rPr>
          <w:rFonts w:ascii="Times New Roman" w:hAnsi="Times New Roman" w:cs="Times New Roman"/>
          <w:sz w:val="24"/>
          <w:szCs w:val="24"/>
        </w:rPr>
        <w:t xml:space="preserve">. </w:t>
      </w:r>
      <w:r w:rsidRPr="001E0932">
        <w:rPr>
          <w:rFonts w:ascii="Times New Roman" w:hAnsi="Times New Roman" w:cs="Times New Roman"/>
          <w:sz w:val="24"/>
          <w:szCs w:val="24"/>
          <w:lang w:val="it-IT"/>
        </w:rPr>
        <w:t>Vintage, 1991.</w:t>
      </w:r>
    </w:p>
    <w:p w14:paraId="63907642" w14:textId="7777777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it-IT"/>
        </w:rPr>
        <w:t xml:space="preserve">Parry, Benita. </w:t>
      </w:r>
      <w:r w:rsidRPr="001E0932">
        <w:rPr>
          <w:rFonts w:ascii="Times New Roman" w:hAnsi="Times New Roman" w:cs="Times New Roman"/>
          <w:i/>
          <w:iCs/>
          <w:sz w:val="24"/>
          <w:szCs w:val="24"/>
          <w:lang w:val="it-IT"/>
        </w:rPr>
        <w:t>Postcolonial Studies: A Materialist Critique</w:t>
      </w:r>
      <w:r w:rsidRPr="001E0932">
        <w:rPr>
          <w:rFonts w:ascii="Times New Roman" w:hAnsi="Times New Roman" w:cs="Times New Roman"/>
          <w:sz w:val="24"/>
          <w:szCs w:val="24"/>
          <w:lang w:val="it-IT"/>
        </w:rPr>
        <w:t>. Routledge, 2004.</w:t>
      </w:r>
    </w:p>
    <w:p w14:paraId="3815AA5A" w14:textId="77777777" w:rsidR="00160D79" w:rsidRPr="004B36BD" w:rsidRDefault="00224D70" w:rsidP="00CF3C0F">
      <w:pPr>
        <w:spacing w:line="480" w:lineRule="auto"/>
        <w:ind w:hanging="720"/>
        <w:jc w:val="both"/>
        <w:rPr>
          <w:rFonts w:ascii="Times New Roman" w:hAnsi="Times New Roman" w:cs="Times New Roman"/>
          <w:sz w:val="24"/>
          <w:szCs w:val="24"/>
          <w:lang w:val="en-AU"/>
        </w:rPr>
      </w:pPr>
      <w:r w:rsidRPr="001E0932">
        <w:rPr>
          <w:rFonts w:ascii="Times New Roman" w:hAnsi="Times New Roman" w:cs="Times New Roman"/>
          <w:sz w:val="24"/>
          <w:szCs w:val="24"/>
          <w:lang w:val="it-IT"/>
        </w:rPr>
        <w:t xml:space="preserve">Pavese, Cesare. </w:t>
      </w:r>
      <w:r w:rsidRPr="001E0932">
        <w:rPr>
          <w:rFonts w:ascii="Times New Roman" w:hAnsi="Times New Roman" w:cs="Times New Roman"/>
          <w:i/>
          <w:sz w:val="24"/>
          <w:szCs w:val="24"/>
          <w:lang w:val="it-IT"/>
        </w:rPr>
        <w:t>Terra d’esilio</w:t>
      </w:r>
      <w:r w:rsidRPr="001E0932">
        <w:rPr>
          <w:rFonts w:ascii="Times New Roman" w:hAnsi="Times New Roman" w:cs="Times New Roman"/>
          <w:sz w:val="24"/>
          <w:szCs w:val="24"/>
          <w:lang w:val="it-IT"/>
        </w:rPr>
        <w:t xml:space="preserve">. </w:t>
      </w:r>
      <w:r w:rsidRPr="004B36BD">
        <w:rPr>
          <w:rFonts w:ascii="Times New Roman" w:hAnsi="Times New Roman" w:cs="Times New Roman"/>
          <w:sz w:val="24"/>
          <w:szCs w:val="24"/>
          <w:lang w:val="en-AU"/>
        </w:rPr>
        <w:t>Einaudi, 1953.</w:t>
      </w:r>
    </w:p>
    <w:p w14:paraId="32351982" w14:textId="68C6F839"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Pearlman, Wendy. “How Homeland Experiences Shape Refugee Belonging: Rethinking Exile, Home, and Integration in the Syrian Case.” </w:t>
      </w:r>
      <w:r w:rsidRPr="001E0932">
        <w:rPr>
          <w:rFonts w:ascii="Times New Roman" w:hAnsi="Times New Roman" w:cs="Times New Roman"/>
          <w:i/>
          <w:iCs/>
          <w:sz w:val="24"/>
          <w:szCs w:val="24"/>
        </w:rPr>
        <w:t>International Migration Review</w:t>
      </w:r>
      <w:r w:rsidRPr="001E0932">
        <w:rPr>
          <w:rFonts w:ascii="Times New Roman" w:hAnsi="Times New Roman" w:cs="Times New Roman"/>
          <w:sz w:val="24"/>
          <w:szCs w:val="24"/>
        </w:rPr>
        <w:t>, vol. 57, no. 1, 2022,</w:t>
      </w:r>
      <w:r w:rsidR="00332BE7" w:rsidRPr="001E0932">
        <w:rPr>
          <w:rFonts w:ascii="Times New Roman" w:hAnsi="Times New Roman" w:cs="Times New Roman"/>
          <w:sz w:val="24"/>
          <w:szCs w:val="24"/>
        </w:rPr>
        <w:t xml:space="preserve"> pp.</w:t>
      </w:r>
      <w:r w:rsidRPr="001E0932">
        <w:rPr>
          <w:rFonts w:ascii="Times New Roman" w:hAnsi="Times New Roman" w:cs="Times New Roman"/>
          <w:sz w:val="24"/>
          <w:szCs w:val="24"/>
        </w:rPr>
        <w:t xml:space="preserve"> 160-86.</w:t>
      </w:r>
    </w:p>
    <w:p w14:paraId="3A206FC3"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lastRenderedPageBreak/>
        <w:t xml:space="preserve">Peters, John Durham. “Exile, Nomadism, and Diaspora: The Stakes of Mobility in the Western Canon.” </w:t>
      </w:r>
      <w:r w:rsidRPr="001E0932">
        <w:rPr>
          <w:rFonts w:ascii="Times New Roman" w:hAnsi="Times New Roman" w:cs="Times New Roman"/>
          <w:i/>
          <w:sz w:val="24"/>
          <w:szCs w:val="24"/>
        </w:rPr>
        <w:t>Home, Exile, Homeland: Film, Media, and the Politics of Place</w:t>
      </w:r>
      <w:r w:rsidRPr="001E0932">
        <w:rPr>
          <w:rFonts w:ascii="Times New Roman" w:hAnsi="Times New Roman" w:cs="Times New Roman"/>
          <w:sz w:val="24"/>
          <w:szCs w:val="24"/>
        </w:rPr>
        <w:t>, edited by Hamid Naficy, Routledge, 1999, pp. 17-41.</w:t>
      </w:r>
    </w:p>
    <w:p w14:paraId="096C5606"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de-DE"/>
        </w:rPr>
        <w:t xml:space="preserve">Petersen, Anne Ring, and Moritz Schramm. </w:t>
      </w:r>
      <w:r w:rsidRPr="001E0932">
        <w:rPr>
          <w:rFonts w:ascii="Times New Roman" w:hAnsi="Times New Roman" w:cs="Times New Roman"/>
          <w:sz w:val="24"/>
          <w:szCs w:val="24"/>
        </w:rPr>
        <w:t xml:space="preserve">“(Post-)Migration in the Age of Globalisation: New Challenges to Imagination and Representation.” </w:t>
      </w:r>
      <w:r w:rsidRPr="001E0932">
        <w:rPr>
          <w:rFonts w:ascii="Times New Roman" w:hAnsi="Times New Roman" w:cs="Times New Roman"/>
          <w:i/>
          <w:sz w:val="24"/>
          <w:szCs w:val="24"/>
        </w:rPr>
        <w:t>Journal of Aesthetics and Culture</w:t>
      </w:r>
      <w:r w:rsidRPr="001E0932">
        <w:rPr>
          <w:rFonts w:ascii="Times New Roman" w:hAnsi="Times New Roman" w:cs="Times New Roman"/>
          <w:sz w:val="24"/>
          <w:szCs w:val="24"/>
        </w:rPr>
        <w:t>, vol. 9, no. 2, 2017, pp. 1-12.</w:t>
      </w:r>
    </w:p>
    <w:p w14:paraId="1C2CD0EA" w14:textId="77777777" w:rsidR="00160D79" w:rsidRPr="001E0932" w:rsidRDefault="00224D70" w:rsidP="00CF3C0F">
      <w:pPr>
        <w:spacing w:line="480" w:lineRule="auto"/>
        <w:ind w:hanging="720"/>
        <w:jc w:val="both"/>
        <w:rPr>
          <w:rFonts w:ascii="Times New Roman" w:hAnsi="Times New Roman" w:cs="Times New Roman"/>
          <w:sz w:val="24"/>
          <w:szCs w:val="24"/>
          <w:lang w:val="fr-FR"/>
        </w:rPr>
      </w:pPr>
      <w:r w:rsidRPr="001E0932">
        <w:rPr>
          <w:rFonts w:ascii="Times New Roman" w:hAnsi="Times New Roman" w:cs="Times New Roman"/>
          <w:sz w:val="24"/>
          <w:szCs w:val="24"/>
        </w:rPr>
        <w:t xml:space="preserve">Pineau, Gisèle. </w:t>
      </w:r>
      <w:r w:rsidRPr="001E0932">
        <w:rPr>
          <w:rFonts w:ascii="Times New Roman" w:hAnsi="Times New Roman" w:cs="Times New Roman"/>
          <w:i/>
          <w:iCs/>
          <w:sz w:val="24"/>
          <w:szCs w:val="24"/>
          <w:lang w:val="fr-FR"/>
        </w:rPr>
        <w:t>L’Exil selon Julia</w:t>
      </w:r>
      <w:r w:rsidRPr="001E0932">
        <w:rPr>
          <w:rFonts w:ascii="Times New Roman" w:hAnsi="Times New Roman" w:cs="Times New Roman"/>
          <w:sz w:val="24"/>
          <w:szCs w:val="24"/>
          <w:lang w:val="fr-FR"/>
        </w:rPr>
        <w:t>. Éditions Stock, 1996.</w:t>
      </w:r>
    </w:p>
    <w:p w14:paraId="7E576557" w14:textId="77777777" w:rsidR="00160D79" w:rsidRPr="001E0932" w:rsidRDefault="00224D70" w:rsidP="00CF3C0F">
      <w:pPr>
        <w:spacing w:line="480" w:lineRule="auto"/>
        <w:ind w:hanging="720"/>
        <w:jc w:val="both"/>
        <w:rPr>
          <w:rFonts w:ascii="Times New Roman" w:hAnsi="Times New Roman" w:cs="Times New Roman"/>
          <w:sz w:val="24"/>
          <w:szCs w:val="24"/>
          <w:lang w:val="it-IT"/>
        </w:rPr>
      </w:pPr>
      <w:r w:rsidRPr="001E0932">
        <w:rPr>
          <w:rFonts w:ascii="Times New Roman" w:hAnsi="Times New Roman" w:cs="Times New Roman"/>
          <w:sz w:val="24"/>
          <w:szCs w:val="24"/>
          <w:lang w:val="fr-FR"/>
        </w:rPr>
        <w:t xml:space="preserve">Rakotoson, Michèle. </w:t>
      </w:r>
      <w:r w:rsidRPr="001E0932">
        <w:rPr>
          <w:rFonts w:ascii="Times New Roman" w:hAnsi="Times New Roman" w:cs="Times New Roman"/>
          <w:i/>
          <w:iCs/>
          <w:sz w:val="24"/>
          <w:szCs w:val="24"/>
          <w:lang w:val="fr-FR"/>
        </w:rPr>
        <w:t>Juillet au pays</w:t>
      </w:r>
      <w:r w:rsidRPr="001E0932">
        <w:rPr>
          <w:rFonts w:ascii="Times New Roman" w:hAnsi="Times New Roman" w:cs="Times New Roman"/>
          <w:sz w:val="24"/>
          <w:szCs w:val="24"/>
          <w:lang w:val="fr-FR"/>
        </w:rPr>
        <w:t xml:space="preserve">. </w:t>
      </w:r>
      <w:r w:rsidRPr="001E0932">
        <w:rPr>
          <w:rFonts w:ascii="Times New Roman" w:hAnsi="Times New Roman" w:cs="Times New Roman"/>
          <w:sz w:val="24"/>
          <w:szCs w:val="24"/>
          <w:lang w:val="it-IT"/>
        </w:rPr>
        <w:t>Elytis, 2007.</w:t>
      </w:r>
    </w:p>
    <w:p w14:paraId="79D7AD9E"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lang w:val="it-IT"/>
        </w:rPr>
        <w:t xml:space="preserve">Robiony, Giorgo, and Rosaria Conte. </w:t>
      </w:r>
      <w:r w:rsidRPr="001E0932">
        <w:rPr>
          <w:rFonts w:ascii="Times New Roman" w:hAnsi="Times New Roman" w:cs="Times New Roman"/>
          <w:i/>
          <w:sz w:val="24"/>
          <w:szCs w:val="24"/>
          <w:lang w:val="it-IT"/>
        </w:rPr>
        <w:t xml:space="preserve">Amori al confino. </w:t>
      </w:r>
      <w:r w:rsidRPr="001E0932">
        <w:rPr>
          <w:rFonts w:ascii="Times New Roman" w:hAnsi="Times New Roman" w:cs="Times New Roman"/>
          <w:sz w:val="24"/>
          <w:szCs w:val="24"/>
        </w:rPr>
        <w:t>Carabba Editore, 2004.</w:t>
      </w:r>
    </w:p>
    <w:p w14:paraId="602C1F97" w14:textId="71528632" w:rsidR="00160D79" w:rsidRPr="001E0932" w:rsidRDefault="00422850" w:rsidP="00CF3C0F">
      <w:pPr>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Said, Edward W</w:t>
      </w:r>
      <w:r w:rsidR="00224D70" w:rsidRPr="001E0932">
        <w:rPr>
          <w:rFonts w:ascii="Times New Roman" w:hAnsi="Times New Roman" w:cs="Times New Roman"/>
          <w:sz w:val="24"/>
          <w:szCs w:val="24"/>
        </w:rPr>
        <w:t xml:space="preserve">. </w:t>
      </w:r>
      <w:r w:rsidR="00224D70" w:rsidRPr="001E0932">
        <w:rPr>
          <w:rFonts w:ascii="Times New Roman" w:hAnsi="Times New Roman" w:cs="Times New Roman"/>
          <w:i/>
          <w:sz w:val="24"/>
          <w:szCs w:val="24"/>
        </w:rPr>
        <w:t>Out of Place: A Memoir</w:t>
      </w:r>
      <w:r w:rsidR="00224D70" w:rsidRPr="001E0932">
        <w:rPr>
          <w:rFonts w:ascii="Times New Roman" w:hAnsi="Times New Roman" w:cs="Times New Roman"/>
          <w:sz w:val="24"/>
          <w:szCs w:val="24"/>
        </w:rPr>
        <w:t>. Vintage, 1999.</w:t>
      </w:r>
    </w:p>
    <w:p w14:paraId="17C4BFB8" w14:textId="77777777"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 “Reflections on Exile.” </w:t>
      </w:r>
      <w:r w:rsidRPr="001E0932">
        <w:rPr>
          <w:rFonts w:ascii="Times New Roman" w:hAnsi="Times New Roman" w:cs="Times New Roman"/>
          <w:i/>
          <w:sz w:val="24"/>
          <w:szCs w:val="24"/>
        </w:rPr>
        <w:t>Reflections on Exile: And Other Literary and Cultural Essays</w:t>
      </w:r>
      <w:r w:rsidRPr="001E0932">
        <w:rPr>
          <w:rFonts w:ascii="Times New Roman" w:hAnsi="Times New Roman" w:cs="Times New Roman"/>
          <w:sz w:val="24"/>
          <w:szCs w:val="24"/>
        </w:rPr>
        <w:t>. Granta, 2001, pp. 173-86.</w:t>
      </w:r>
    </w:p>
    <w:p w14:paraId="71FBC3D7" w14:textId="609621D2" w:rsidR="00160D79"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Sellman, Johanna. </w:t>
      </w:r>
      <w:r w:rsidRPr="001E0932">
        <w:rPr>
          <w:rFonts w:ascii="Times New Roman" w:hAnsi="Times New Roman" w:cs="Times New Roman"/>
          <w:i/>
          <w:sz w:val="24"/>
          <w:szCs w:val="24"/>
        </w:rPr>
        <w:t>Arabic Exile Literature in Europe: Defamiliarizing Forced Migration</w:t>
      </w:r>
      <w:r w:rsidRPr="001E0932">
        <w:rPr>
          <w:rFonts w:ascii="Times New Roman" w:hAnsi="Times New Roman" w:cs="Times New Roman"/>
          <w:sz w:val="24"/>
          <w:szCs w:val="24"/>
        </w:rPr>
        <w:t>. Edinburgh UP, 2022.</w:t>
      </w:r>
    </w:p>
    <w:p w14:paraId="71B32738" w14:textId="136412CC" w:rsidR="00292143" w:rsidRPr="001E0932" w:rsidRDefault="00292143" w:rsidP="00CF3C0F">
      <w:pPr>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Shakespeare, William. </w:t>
      </w:r>
      <w:r w:rsidRPr="009A7BDD">
        <w:rPr>
          <w:rFonts w:ascii="Times New Roman" w:hAnsi="Times New Roman" w:cs="Times New Roman"/>
          <w:i/>
          <w:iCs/>
          <w:sz w:val="24"/>
          <w:szCs w:val="24"/>
        </w:rPr>
        <w:t>Romeo and Juliet</w:t>
      </w:r>
      <w:r w:rsidR="00BB7F95">
        <w:rPr>
          <w:rFonts w:ascii="Times New Roman" w:hAnsi="Times New Roman" w:cs="Times New Roman"/>
          <w:sz w:val="24"/>
          <w:szCs w:val="24"/>
        </w:rPr>
        <w:t xml:space="preserve">. </w:t>
      </w:r>
      <w:r w:rsidR="009A7BDD">
        <w:rPr>
          <w:rFonts w:ascii="Times New Roman" w:hAnsi="Times New Roman" w:cs="Times New Roman"/>
          <w:sz w:val="24"/>
          <w:szCs w:val="24"/>
        </w:rPr>
        <w:t>Penguin Books, 1967 [1597].</w:t>
      </w:r>
    </w:p>
    <w:p w14:paraId="629512AE" w14:textId="22CD5AC9" w:rsidR="00160D79" w:rsidRPr="004B36BD" w:rsidRDefault="00224D70" w:rsidP="00CF3C0F">
      <w:pPr>
        <w:spacing w:line="480" w:lineRule="auto"/>
        <w:ind w:hanging="720"/>
        <w:jc w:val="both"/>
        <w:rPr>
          <w:rFonts w:ascii="Times New Roman" w:hAnsi="Times New Roman" w:cs="Times New Roman"/>
          <w:sz w:val="24"/>
          <w:szCs w:val="24"/>
          <w:lang w:val="fr-FR"/>
        </w:rPr>
      </w:pPr>
      <w:r w:rsidRPr="001E0932">
        <w:rPr>
          <w:rFonts w:ascii="Times New Roman" w:hAnsi="Times New Roman" w:cs="Times New Roman"/>
          <w:sz w:val="24"/>
          <w:szCs w:val="24"/>
        </w:rPr>
        <w:t xml:space="preserve">Shklar, Judith N. </w:t>
      </w:r>
      <w:r w:rsidRPr="001E0932">
        <w:rPr>
          <w:rFonts w:ascii="Times New Roman" w:hAnsi="Times New Roman" w:cs="Times New Roman"/>
          <w:i/>
          <w:sz w:val="24"/>
          <w:szCs w:val="24"/>
        </w:rPr>
        <w:t>Political Thought and Political Thinkers</w:t>
      </w:r>
      <w:r w:rsidRPr="001E0932">
        <w:rPr>
          <w:rFonts w:ascii="Times New Roman" w:hAnsi="Times New Roman" w:cs="Times New Roman"/>
          <w:sz w:val="24"/>
          <w:szCs w:val="24"/>
        </w:rPr>
        <w:t xml:space="preserve">, edited by Stanley Hoffmann. </w:t>
      </w:r>
      <w:r w:rsidRPr="004B36BD">
        <w:rPr>
          <w:rFonts w:ascii="Times New Roman" w:hAnsi="Times New Roman" w:cs="Times New Roman"/>
          <w:sz w:val="24"/>
          <w:szCs w:val="24"/>
          <w:lang w:val="fr-FR"/>
        </w:rPr>
        <w:t>The University of Chicago P, 1998.</w:t>
      </w:r>
    </w:p>
    <w:p w14:paraId="0BFA758E" w14:textId="77777777" w:rsidR="00160D79" w:rsidRPr="00056B37" w:rsidRDefault="00224D70" w:rsidP="00CF3C0F">
      <w:pPr>
        <w:spacing w:line="480" w:lineRule="auto"/>
        <w:ind w:hanging="720"/>
        <w:jc w:val="both"/>
        <w:rPr>
          <w:rFonts w:ascii="Times New Roman" w:hAnsi="Times New Roman" w:cs="Times New Roman"/>
          <w:sz w:val="24"/>
          <w:szCs w:val="24"/>
          <w:lang w:val="fr-FR"/>
        </w:rPr>
      </w:pPr>
      <w:r w:rsidRPr="00056B37">
        <w:rPr>
          <w:rFonts w:ascii="Times New Roman" w:hAnsi="Times New Roman" w:cs="Times New Roman"/>
          <w:sz w:val="24"/>
          <w:szCs w:val="24"/>
          <w:lang w:val="fr-FR"/>
        </w:rPr>
        <w:t xml:space="preserve">Tadjo, Véronique. </w:t>
      </w:r>
      <w:r w:rsidRPr="00056B37">
        <w:rPr>
          <w:rFonts w:ascii="Times New Roman" w:hAnsi="Times New Roman" w:cs="Times New Roman"/>
          <w:i/>
          <w:sz w:val="24"/>
          <w:szCs w:val="24"/>
          <w:lang w:val="fr-FR"/>
        </w:rPr>
        <w:t>Loin de mon père</w:t>
      </w:r>
      <w:r w:rsidRPr="00056B37">
        <w:rPr>
          <w:rFonts w:ascii="Times New Roman" w:hAnsi="Times New Roman" w:cs="Times New Roman"/>
          <w:sz w:val="24"/>
          <w:szCs w:val="24"/>
          <w:lang w:val="fr-FR"/>
        </w:rPr>
        <w:t>. Actes Sud, 2010.</w:t>
      </w:r>
    </w:p>
    <w:p w14:paraId="227C81FC" w14:textId="768D6FAE" w:rsidR="00160D79" w:rsidRPr="001E0932"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Wimbush, Antonia. </w:t>
      </w:r>
      <w:r w:rsidRPr="001E0932">
        <w:rPr>
          <w:rFonts w:ascii="Times New Roman" w:hAnsi="Times New Roman" w:cs="Times New Roman"/>
          <w:i/>
          <w:sz w:val="24"/>
          <w:szCs w:val="24"/>
        </w:rPr>
        <w:t>Autofiction: A Female Francophone Aesthetic of Exile</w:t>
      </w:r>
      <w:r w:rsidRPr="001E0932">
        <w:rPr>
          <w:rFonts w:ascii="Times New Roman" w:hAnsi="Times New Roman" w:cs="Times New Roman"/>
          <w:sz w:val="24"/>
          <w:szCs w:val="24"/>
        </w:rPr>
        <w:t>. Liverpool UP, 2021.</w:t>
      </w:r>
    </w:p>
    <w:p w14:paraId="1D935945" w14:textId="77777777" w:rsidR="00160D79" w:rsidRDefault="00224D70" w:rsidP="00CF3C0F">
      <w:pPr>
        <w:spacing w:line="480" w:lineRule="auto"/>
        <w:ind w:hanging="720"/>
        <w:jc w:val="both"/>
        <w:rPr>
          <w:rFonts w:ascii="Times New Roman" w:hAnsi="Times New Roman" w:cs="Times New Roman"/>
          <w:sz w:val="24"/>
          <w:szCs w:val="24"/>
        </w:rPr>
      </w:pPr>
      <w:r w:rsidRPr="001E0932">
        <w:rPr>
          <w:rFonts w:ascii="Times New Roman" w:hAnsi="Times New Roman" w:cs="Times New Roman"/>
          <w:sz w:val="24"/>
          <w:szCs w:val="24"/>
        </w:rPr>
        <w:t xml:space="preserve">Woolley, Agnes. </w:t>
      </w:r>
      <w:r w:rsidRPr="001E0932">
        <w:rPr>
          <w:rFonts w:ascii="Times New Roman" w:hAnsi="Times New Roman" w:cs="Times New Roman"/>
          <w:i/>
          <w:iCs/>
          <w:sz w:val="24"/>
          <w:szCs w:val="24"/>
        </w:rPr>
        <w:t>Contemporary Asylum Narratives: Representing Refugees in the Twenty-First Century</w:t>
      </w:r>
      <w:r w:rsidRPr="001E0932">
        <w:rPr>
          <w:rFonts w:ascii="Times New Roman" w:hAnsi="Times New Roman" w:cs="Times New Roman"/>
          <w:sz w:val="24"/>
          <w:szCs w:val="24"/>
        </w:rPr>
        <w:t>. Palgrave Macmillan, 2014.</w:t>
      </w:r>
    </w:p>
    <w:p w14:paraId="04200673" w14:textId="49D0A5E4" w:rsidR="000B1B70" w:rsidRPr="001E0932" w:rsidRDefault="00AB1F72" w:rsidP="00CF3C0F">
      <w:pPr>
        <w:spacing w:line="480" w:lineRule="auto"/>
        <w:ind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Zeleza, Paul Tiyambe. “The Politics and Poetics of Exile: Edward Said in Africa.” </w:t>
      </w:r>
      <w:r w:rsidRPr="00466996">
        <w:rPr>
          <w:rFonts w:ascii="Times New Roman" w:hAnsi="Times New Roman" w:cs="Times New Roman"/>
          <w:i/>
          <w:iCs/>
          <w:sz w:val="24"/>
          <w:szCs w:val="24"/>
        </w:rPr>
        <w:t>Research in African Literatures</w:t>
      </w:r>
      <w:r w:rsidR="00466996">
        <w:rPr>
          <w:rFonts w:ascii="Times New Roman" w:hAnsi="Times New Roman" w:cs="Times New Roman"/>
          <w:sz w:val="24"/>
          <w:szCs w:val="24"/>
        </w:rPr>
        <w:t>, vol. 36, no. 3, 2005, pp. 1-22.</w:t>
      </w:r>
    </w:p>
    <w:p w14:paraId="38D472CD" w14:textId="77777777" w:rsidR="00160D79" w:rsidRDefault="00160D79" w:rsidP="00034564">
      <w:pPr>
        <w:spacing w:line="240" w:lineRule="auto"/>
        <w:ind w:hanging="720"/>
        <w:jc w:val="both"/>
        <w:rPr>
          <w:rFonts w:ascii="Times New Roman" w:hAnsi="Times New Roman" w:cs="Times New Roman"/>
          <w:sz w:val="24"/>
          <w:szCs w:val="24"/>
        </w:rPr>
      </w:pPr>
    </w:p>
    <w:p w14:paraId="4288A389" w14:textId="77777777" w:rsidR="004B36BD" w:rsidRPr="004B36BD" w:rsidRDefault="004B36BD" w:rsidP="00034564">
      <w:pPr>
        <w:spacing w:line="240" w:lineRule="auto"/>
        <w:ind w:hanging="720"/>
        <w:jc w:val="both"/>
        <w:rPr>
          <w:rFonts w:ascii="Times New Roman" w:hAnsi="Times New Roman" w:cs="Times New Roman"/>
          <w:sz w:val="24"/>
          <w:szCs w:val="24"/>
        </w:rPr>
      </w:pPr>
    </w:p>
    <w:p w14:paraId="4944E7EE" w14:textId="25F2BD86" w:rsidR="00160D79" w:rsidRPr="004B36BD" w:rsidRDefault="00034564" w:rsidP="00034564">
      <w:pPr>
        <w:spacing w:line="240" w:lineRule="auto"/>
        <w:ind w:hanging="720"/>
        <w:jc w:val="both"/>
        <w:rPr>
          <w:rFonts w:ascii="Times New Roman" w:hAnsi="Times New Roman" w:cs="Times New Roman"/>
          <w:b/>
          <w:bCs/>
          <w:sz w:val="24"/>
          <w:szCs w:val="24"/>
        </w:rPr>
      </w:pPr>
      <w:r w:rsidRPr="004B36BD">
        <w:rPr>
          <w:rFonts w:ascii="Times New Roman" w:hAnsi="Times New Roman" w:cs="Times New Roman"/>
          <w:b/>
          <w:bCs/>
          <w:sz w:val="24"/>
          <w:szCs w:val="24"/>
        </w:rPr>
        <w:t>Notes</w:t>
      </w:r>
    </w:p>
    <w:p w14:paraId="73827DE8" w14:textId="77777777" w:rsidR="00160D79" w:rsidRPr="008513E7" w:rsidRDefault="00160D79">
      <w:pPr>
        <w:jc w:val="both"/>
        <w:rPr>
          <w:rFonts w:ascii="Times New Roman" w:hAnsi="Times New Roman" w:cs="Times New Roman"/>
          <w:sz w:val="24"/>
          <w:szCs w:val="24"/>
        </w:rPr>
      </w:pPr>
    </w:p>
    <w:sectPr w:rsidR="00160D79" w:rsidRPr="008513E7">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808AD5" w14:textId="77777777" w:rsidR="00C32AB3" w:rsidRDefault="00C32AB3">
      <w:pPr>
        <w:spacing w:after="0" w:line="240" w:lineRule="auto"/>
      </w:pPr>
      <w:r>
        <w:separator/>
      </w:r>
    </w:p>
  </w:endnote>
  <w:endnote w:type="continuationSeparator" w:id="0">
    <w:p w14:paraId="527C1FFB" w14:textId="77777777" w:rsidR="00C32AB3" w:rsidRDefault="00C32AB3">
      <w:pPr>
        <w:spacing w:after="0" w:line="240" w:lineRule="auto"/>
      </w:pPr>
      <w:r>
        <w:continuationSeparator/>
      </w:r>
    </w:p>
  </w:endnote>
  <w:endnote w:id="1">
    <w:p w14:paraId="19A189BB" w14:textId="06ED7416" w:rsidR="00160D79" w:rsidRDefault="00224D70">
      <w:pPr>
        <w:pStyle w:val="EndnoteText"/>
        <w:spacing w:line="480" w:lineRule="auto"/>
        <w:jc w:val="both"/>
        <w:rPr>
          <w:rFonts w:ascii="Times New Roman" w:hAnsi="Times New Roman" w:cs="Times New Roman"/>
        </w:rPr>
      </w:pPr>
      <w:r>
        <w:rPr>
          <w:rStyle w:val="EndnoteReference"/>
          <w:rFonts w:ascii="Times New Roman" w:hAnsi="Times New Roman" w:cs="Times New Roman"/>
        </w:rPr>
        <w:endnoteRef/>
      </w:r>
      <w:r>
        <w:rPr>
          <w:rFonts w:ascii="Times New Roman" w:hAnsi="Times New Roman" w:cs="Times New Roman"/>
        </w:rPr>
        <w:t xml:space="preserve"> Søren Frank argues that the term “migration literature” places emphasis on both intertextual details, such as form and content, and extratextual factors such as “social processes” (3). Joanna Kosmalska, in contrast, sees migration literature as a broader category which can be explored from a theme-oriented approach, an ethnic-oriented approach, or a text-oriented approach (333-34).</w:t>
      </w:r>
    </w:p>
  </w:endnote>
  <w:endnote w:id="2">
    <w:p w14:paraId="652D829A" w14:textId="77777777" w:rsidR="00160D79" w:rsidRDefault="00160D79">
      <w:pPr>
        <w:pStyle w:val="EndnoteText"/>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0"/>
      </w:rPr>
      <w:id w:val="1229879212"/>
      <w:docPartObj>
        <w:docPartGallery w:val="Page Numbers (Bottom of Page)"/>
        <w:docPartUnique/>
      </w:docPartObj>
    </w:sdtPr>
    <w:sdtEndPr/>
    <w:sdtContent>
      <w:p w14:paraId="0484930F" w14:textId="77777777" w:rsidR="00160D79" w:rsidRDefault="00224D70">
        <w:pPr>
          <w:pStyle w:val="Footer"/>
          <w:rPr>
            <w:rFonts w:ascii="Times New Roman" w:hAnsi="Times New Roman" w:cs="Times New Roman"/>
            <w:sz w:val="20"/>
          </w:rPr>
        </w:pPr>
        <w:r>
          <w:rPr>
            <w:rFonts w:ascii="Times New Roman" w:hAnsi="Times New Roman" w:cs="Times New Roman"/>
            <w:sz w:val="20"/>
          </w:rPr>
          <w:fldChar w:fldCharType="begin"/>
        </w:r>
        <w:r>
          <w:rPr>
            <w:rFonts w:ascii="Times New Roman" w:hAnsi="Times New Roman" w:cs="Times New Roman"/>
            <w:sz w:val="20"/>
          </w:rPr>
          <w:instrText xml:space="preserve"> PAGE   \* MERGEFORMAT </w:instrText>
        </w:r>
        <w:r>
          <w:rPr>
            <w:rFonts w:ascii="Times New Roman" w:hAnsi="Times New Roman" w:cs="Times New Roman"/>
            <w:sz w:val="20"/>
          </w:rPr>
          <w:fldChar w:fldCharType="separate"/>
        </w:r>
        <w:r>
          <w:rPr>
            <w:rFonts w:ascii="Times New Roman" w:hAnsi="Times New Roman" w:cs="Times New Roman"/>
            <w:sz w:val="20"/>
          </w:rPr>
          <w:t>12</w:t>
        </w:r>
        <w:r>
          <w:rPr>
            <w:rFonts w:ascii="Times New Roman" w:hAnsi="Times New Roman" w:cs="Times New Roman"/>
            <w:sz w:val="20"/>
          </w:rPr>
          <w:fldChar w:fldCharType="end"/>
        </w:r>
      </w:p>
    </w:sdtContent>
  </w:sdt>
  <w:p w14:paraId="6D0A6769" w14:textId="77777777" w:rsidR="00160D79" w:rsidRDefault="00160D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6049D" w14:textId="77777777" w:rsidR="00C32AB3" w:rsidRDefault="00C32AB3">
      <w:pPr>
        <w:spacing w:after="0" w:line="240" w:lineRule="auto"/>
      </w:pPr>
      <w:r>
        <w:separator/>
      </w:r>
    </w:p>
  </w:footnote>
  <w:footnote w:type="continuationSeparator" w:id="0">
    <w:p w14:paraId="50ADF715" w14:textId="77777777" w:rsidR="00C32AB3" w:rsidRDefault="00C32AB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activeWritingStyle w:appName="MSWord" w:lang="en-AU" w:vendorID="64" w:dllVersion="0" w:nlCheck="1" w:checkStyle="0"/>
  <w:activeWritingStyle w:appName="MSWord" w:lang="fr-FR"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ZA" w:vendorID="64" w:dllVersion="0" w:nlCheck="1" w:checkStyle="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D79"/>
    <w:rsid w:val="00006136"/>
    <w:rsid w:val="00006F3C"/>
    <w:rsid w:val="00016096"/>
    <w:rsid w:val="00023F27"/>
    <w:rsid w:val="00034564"/>
    <w:rsid w:val="000414BA"/>
    <w:rsid w:val="00042CF8"/>
    <w:rsid w:val="00056B37"/>
    <w:rsid w:val="0006513F"/>
    <w:rsid w:val="00067F53"/>
    <w:rsid w:val="00072AE6"/>
    <w:rsid w:val="000A1DF4"/>
    <w:rsid w:val="000A66B7"/>
    <w:rsid w:val="000B1B70"/>
    <w:rsid w:val="000D4BDD"/>
    <w:rsid w:val="000D5BF7"/>
    <w:rsid w:val="000E258A"/>
    <w:rsid w:val="0013403B"/>
    <w:rsid w:val="00154256"/>
    <w:rsid w:val="00155999"/>
    <w:rsid w:val="00160D79"/>
    <w:rsid w:val="00176283"/>
    <w:rsid w:val="00182048"/>
    <w:rsid w:val="001E0634"/>
    <w:rsid w:val="001E0932"/>
    <w:rsid w:val="001E6D2C"/>
    <w:rsid w:val="001F6E76"/>
    <w:rsid w:val="00211C35"/>
    <w:rsid w:val="00224D70"/>
    <w:rsid w:val="00251D3D"/>
    <w:rsid w:val="002633EF"/>
    <w:rsid w:val="0026589F"/>
    <w:rsid w:val="00281300"/>
    <w:rsid w:val="00292143"/>
    <w:rsid w:val="0029300D"/>
    <w:rsid w:val="0029354C"/>
    <w:rsid w:val="002B0F6F"/>
    <w:rsid w:val="002D0D31"/>
    <w:rsid w:val="0032456A"/>
    <w:rsid w:val="00324B49"/>
    <w:rsid w:val="003308EE"/>
    <w:rsid w:val="00332BE7"/>
    <w:rsid w:val="0033472F"/>
    <w:rsid w:val="00375B93"/>
    <w:rsid w:val="00392FCB"/>
    <w:rsid w:val="003A1896"/>
    <w:rsid w:val="003A6161"/>
    <w:rsid w:val="003C0826"/>
    <w:rsid w:val="003E0D5D"/>
    <w:rsid w:val="003E1036"/>
    <w:rsid w:val="003E7031"/>
    <w:rsid w:val="004001C8"/>
    <w:rsid w:val="00422850"/>
    <w:rsid w:val="00466996"/>
    <w:rsid w:val="004B36BD"/>
    <w:rsid w:val="004C627D"/>
    <w:rsid w:val="004F1732"/>
    <w:rsid w:val="005010A1"/>
    <w:rsid w:val="00502A50"/>
    <w:rsid w:val="00505B02"/>
    <w:rsid w:val="00506E92"/>
    <w:rsid w:val="00511A6B"/>
    <w:rsid w:val="005420FC"/>
    <w:rsid w:val="00545EBE"/>
    <w:rsid w:val="005B66E9"/>
    <w:rsid w:val="005E5C3D"/>
    <w:rsid w:val="00637AC6"/>
    <w:rsid w:val="00661E41"/>
    <w:rsid w:val="006C3581"/>
    <w:rsid w:val="006D1FAB"/>
    <w:rsid w:val="006D5CA3"/>
    <w:rsid w:val="006F008E"/>
    <w:rsid w:val="006F4E32"/>
    <w:rsid w:val="0071708D"/>
    <w:rsid w:val="0073220A"/>
    <w:rsid w:val="00746042"/>
    <w:rsid w:val="007646DD"/>
    <w:rsid w:val="00790E4B"/>
    <w:rsid w:val="007B04F5"/>
    <w:rsid w:val="007E4A5F"/>
    <w:rsid w:val="008513E7"/>
    <w:rsid w:val="00852DE3"/>
    <w:rsid w:val="008A16AD"/>
    <w:rsid w:val="008E0A4E"/>
    <w:rsid w:val="008F43C9"/>
    <w:rsid w:val="0091231E"/>
    <w:rsid w:val="0091238C"/>
    <w:rsid w:val="009626C4"/>
    <w:rsid w:val="00985958"/>
    <w:rsid w:val="009A7BDD"/>
    <w:rsid w:val="009E5BF5"/>
    <w:rsid w:val="00A02DEC"/>
    <w:rsid w:val="00A24B7E"/>
    <w:rsid w:val="00A51B7E"/>
    <w:rsid w:val="00A56BA9"/>
    <w:rsid w:val="00A6531B"/>
    <w:rsid w:val="00A82922"/>
    <w:rsid w:val="00AA4C0C"/>
    <w:rsid w:val="00AA719D"/>
    <w:rsid w:val="00AB1F72"/>
    <w:rsid w:val="00AB3BF4"/>
    <w:rsid w:val="00AD4FE6"/>
    <w:rsid w:val="00AD505F"/>
    <w:rsid w:val="00AF640B"/>
    <w:rsid w:val="00B0105F"/>
    <w:rsid w:val="00B14FF8"/>
    <w:rsid w:val="00B25C16"/>
    <w:rsid w:val="00B334C5"/>
    <w:rsid w:val="00B33C5D"/>
    <w:rsid w:val="00BA7883"/>
    <w:rsid w:val="00BB68BA"/>
    <w:rsid w:val="00BB7F95"/>
    <w:rsid w:val="00BC7346"/>
    <w:rsid w:val="00BC773F"/>
    <w:rsid w:val="00BD3A5F"/>
    <w:rsid w:val="00BE15A7"/>
    <w:rsid w:val="00C023E2"/>
    <w:rsid w:val="00C30B76"/>
    <w:rsid w:val="00C32AB3"/>
    <w:rsid w:val="00C46F91"/>
    <w:rsid w:val="00C82DD1"/>
    <w:rsid w:val="00C90D8D"/>
    <w:rsid w:val="00C947BB"/>
    <w:rsid w:val="00CB7AC3"/>
    <w:rsid w:val="00CC51F0"/>
    <w:rsid w:val="00CC61EE"/>
    <w:rsid w:val="00CC7BBB"/>
    <w:rsid w:val="00CE7532"/>
    <w:rsid w:val="00CE7B00"/>
    <w:rsid w:val="00CF3C0F"/>
    <w:rsid w:val="00D1405C"/>
    <w:rsid w:val="00D30B1A"/>
    <w:rsid w:val="00D3336A"/>
    <w:rsid w:val="00D37857"/>
    <w:rsid w:val="00D82651"/>
    <w:rsid w:val="00D86687"/>
    <w:rsid w:val="00DA250E"/>
    <w:rsid w:val="00DC4A36"/>
    <w:rsid w:val="00DF139F"/>
    <w:rsid w:val="00DF61D3"/>
    <w:rsid w:val="00E15664"/>
    <w:rsid w:val="00E84D79"/>
    <w:rsid w:val="00E84EEF"/>
    <w:rsid w:val="00E92E19"/>
    <w:rsid w:val="00EA6192"/>
    <w:rsid w:val="00EB2D28"/>
    <w:rsid w:val="00EB74CD"/>
    <w:rsid w:val="00EC39D6"/>
    <w:rsid w:val="00ED7B5A"/>
    <w:rsid w:val="00EF43E2"/>
    <w:rsid w:val="00F03E63"/>
    <w:rsid w:val="00F04FA9"/>
    <w:rsid w:val="00F1665B"/>
    <w:rsid w:val="00F16E67"/>
    <w:rsid w:val="00F51075"/>
    <w:rsid w:val="00F52EB8"/>
    <w:rsid w:val="00F9401B"/>
    <w:rsid w:val="00FA1268"/>
    <w:rsid w:val="00FD1ECF"/>
    <w:rsid w:val="00FF42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F4702"/>
  <w15:docId w15:val="{9DDD6CE4-4DC2-8C4E-92A2-9DAED2690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200"/>
      <w:outlineLvl w:val="0"/>
    </w:pPr>
    <w:rPr>
      <w:rFonts w:ascii="Arial" w:eastAsia="Arial" w:hAnsi="Arial" w:cs="Arial"/>
      <w:sz w:val="40"/>
      <w:szCs w:val="40"/>
    </w:rPr>
  </w:style>
  <w:style w:type="paragraph" w:styleId="Heading2">
    <w:name w:val="heading 2"/>
    <w:basedOn w:val="Normal"/>
    <w:next w:val="Normal"/>
    <w:link w:val="Heading2Char"/>
    <w:uiPriority w:val="9"/>
    <w:unhideWhenUsed/>
    <w:qFormat/>
    <w:pPr>
      <w:keepNext/>
      <w:keepLines/>
      <w:spacing w:before="360" w:after="200"/>
      <w:outlineLvl w:val="1"/>
    </w:pPr>
    <w:rPr>
      <w:rFonts w:ascii="Arial" w:eastAsia="Arial" w:hAnsi="Arial" w:cs="Arial"/>
      <w:sz w:val="34"/>
    </w:rPr>
  </w:style>
  <w:style w:type="paragraph" w:styleId="Heading3">
    <w:name w:val="heading 3"/>
    <w:basedOn w:val="Normal"/>
    <w:next w:val="Normal"/>
    <w:link w:val="Heading3Char"/>
    <w:uiPriority w:val="9"/>
    <w:unhideWhenUsed/>
    <w:qFormat/>
    <w:pPr>
      <w:keepNext/>
      <w:keepLines/>
      <w:spacing w:before="320" w:after="200"/>
      <w:outlineLvl w:val="2"/>
    </w:pPr>
    <w:rPr>
      <w:rFonts w:ascii="Arial" w:eastAsia="Arial" w:hAnsi="Arial" w:cs="Arial"/>
      <w:sz w:val="30"/>
      <w:szCs w:val="30"/>
    </w:rPr>
  </w:style>
  <w:style w:type="paragraph" w:styleId="Heading4">
    <w:name w:val="heading 4"/>
    <w:basedOn w:val="Normal"/>
    <w:next w:val="Normal"/>
    <w:link w:val="Heading4Char"/>
    <w:uiPriority w:val="9"/>
    <w:unhideWhenUsed/>
    <w:qFormat/>
    <w:pPr>
      <w:keepNext/>
      <w:keepLines/>
      <w:spacing w:before="320" w:after="200"/>
      <w:outlineLvl w:val="3"/>
    </w:pPr>
    <w:rPr>
      <w:rFonts w:ascii="Arial" w:eastAsia="Arial" w:hAnsi="Arial" w:cs="Arial"/>
      <w:b/>
      <w:bCs/>
      <w:sz w:val="26"/>
      <w:szCs w:val="26"/>
    </w:rPr>
  </w:style>
  <w:style w:type="paragraph" w:styleId="Heading5">
    <w:name w:val="heading 5"/>
    <w:basedOn w:val="Normal"/>
    <w:next w:val="Normal"/>
    <w:link w:val="Heading5Char"/>
    <w:uiPriority w:val="9"/>
    <w:unhideWhenUsed/>
    <w:qFormat/>
    <w:pPr>
      <w:keepNext/>
      <w:keepLines/>
      <w:spacing w:before="320" w:after="200"/>
      <w:outlineLvl w:val="4"/>
    </w:pPr>
    <w:rPr>
      <w:rFonts w:ascii="Arial" w:eastAsia="Arial" w:hAnsi="Arial" w:cs="Arial"/>
      <w:b/>
      <w:bCs/>
      <w:sz w:val="24"/>
      <w:szCs w:val="24"/>
    </w:rPr>
  </w:style>
  <w:style w:type="paragraph" w:styleId="Heading6">
    <w:name w:val="heading 6"/>
    <w:basedOn w:val="Normal"/>
    <w:next w:val="Normal"/>
    <w:link w:val="Heading6Char"/>
    <w:uiPriority w:val="9"/>
    <w:unhideWhenUsed/>
    <w:qFormat/>
    <w:pPr>
      <w:keepNext/>
      <w:keepLines/>
      <w:spacing w:before="320" w:after="200"/>
      <w:outlineLvl w:val="5"/>
    </w:pPr>
    <w:rPr>
      <w:rFonts w:ascii="Arial" w:eastAsia="Arial" w:hAnsi="Arial" w:cs="Arial"/>
      <w:b/>
      <w:bCs/>
    </w:rPr>
  </w:style>
  <w:style w:type="paragraph" w:styleId="Heading7">
    <w:name w:val="heading 7"/>
    <w:basedOn w:val="Normal"/>
    <w:next w:val="Normal"/>
    <w:link w:val="Heading7Char"/>
    <w:uiPriority w:val="9"/>
    <w:unhideWhenUsed/>
    <w:qFormat/>
    <w:pPr>
      <w:keepNext/>
      <w:keepLines/>
      <w:spacing w:before="320" w:after="200"/>
      <w:outlineLvl w:val="6"/>
    </w:pPr>
    <w:rPr>
      <w:rFonts w:ascii="Arial" w:eastAsia="Arial" w:hAnsi="Arial" w:cs="Arial"/>
      <w:b/>
      <w:bCs/>
      <w:i/>
      <w:iCs/>
    </w:rPr>
  </w:style>
  <w:style w:type="paragraph" w:styleId="Heading8">
    <w:name w:val="heading 8"/>
    <w:basedOn w:val="Normal"/>
    <w:next w:val="Normal"/>
    <w:link w:val="Heading8Char"/>
    <w:uiPriority w:val="9"/>
    <w:unhideWhenUsed/>
    <w:qFormat/>
    <w:pPr>
      <w:keepNext/>
      <w:keepLines/>
      <w:spacing w:before="320" w:after="200"/>
      <w:outlineLvl w:val="7"/>
    </w:pPr>
    <w:rPr>
      <w:rFonts w:ascii="Arial" w:eastAsia="Arial" w:hAnsi="Arial" w:cs="Arial"/>
      <w:i/>
      <w:iCs/>
    </w:rPr>
  </w:style>
  <w:style w:type="paragraph" w:styleId="Heading9">
    <w:name w:val="heading 9"/>
    <w:basedOn w:val="Normal"/>
    <w:next w:val="Normal"/>
    <w:link w:val="Heading9Char"/>
    <w:uiPriority w:val="9"/>
    <w:unhideWhenUsed/>
    <w:qFormat/>
    <w:pPr>
      <w:keepNext/>
      <w:keepLines/>
      <w:spacing w:before="320" w:after="200"/>
      <w:outlineLvl w:val="8"/>
    </w:pPr>
    <w:rPr>
      <w:rFonts w:ascii="Arial" w:eastAsia="Arial" w:hAnsi="Arial" w:cs="Arial"/>
      <w:i/>
      <w:i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Arial" w:eastAsia="Arial" w:hAnsi="Arial" w:cs="Arial"/>
      <w:sz w:val="40"/>
      <w:szCs w:val="40"/>
    </w:rPr>
  </w:style>
  <w:style w:type="character" w:customStyle="1" w:styleId="Heading2Char">
    <w:name w:val="Heading 2 Char"/>
    <w:basedOn w:val="DefaultParagraphFont"/>
    <w:link w:val="Heading2"/>
    <w:uiPriority w:val="9"/>
    <w:rPr>
      <w:rFonts w:ascii="Arial" w:eastAsia="Arial" w:hAnsi="Arial" w:cs="Arial"/>
      <w:sz w:val="34"/>
    </w:rPr>
  </w:style>
  <w:style w:type="character" w:customStyle="1" w:styleId="Heading3Char">
    <w:name w:val="Heading 3 Char"/>
    <w:basedOn w:val="DefaultParagraphFont"/>
    <w:link w:val="Heading3"/>
    <w:uiPriority w:val="9"/>
    <w:rPr>
      <w:rFonts w:ascii="Arial" w:eastAsia="Arial" w:hAnsi="Arial" w:cs="Arial"/>
      <w:sz w:val="30"/>
      <w:szCs w:val="30"/>
    </w:rPr>
  </w:style>
  <w:style w:type="character" w:customStyle="1" w:styleId="Heading4Char">
    <w:name w:val="Heading 4 Char"/>
    <w:basedOn w:val="DefaultParagraphFont"/>
    <w:link w:val="Heading4"/>
    <w:uiPriority w:val="9"/>
    <w:rPr>
      <w:rFonts w:ascii="Arial" w:eastAsia="Arial" w:hAnsi="Arial" w:cs="Arial"/>
      <w:b/>
      <w:bCs/>
      <w:sz w:val="26"/>
      <w:szCs w:val="26"/>
    </w:rPr>
  </w:style>
  <w:style w:type="character" w:customStyle="1" w:styleId="Heading5Char">
    <w:name w:val="Heading 5 Char"/>
    <w:basedOn w:val="DefaultParagraphFont"/>
    <w:link w:val="Heading5"/>
    <w:uiPriority w:val="9"/>
    <w:rPr>
      <w:rFonts w:ascii="Arial" w:eastAsia="Arial" w:hAnsi="Arial" w:cs="Arial"/>
      <w:b/>
      <w:bCs/>
      <w:sz w:val="24"/>
      <w:szCs w:val="24"/>
    </w:rPr>
  </w:style>
  <w:style w:type="character" w:customStyle="1" w:styleId="Heading6Char">
    <w:name w:val="Heading 6 Char"/>
    <w:basedOn w:val="DefaultParagraphFont"/>
    <w:link w:val="Heading6"/>
    <w:uiPriority w:val="9"/>
    <w:rPr>
      <w:rFonts w:ascii="Arial" w:eastAsia="Arial" w:hAnsi="Arial" w:cs="Arial"/>
      <w:b/>
      <w:bCs/>
      <w:sz w:val="22"/>
      <w:szCs w:val="22"/>
    </w:rPr>
  </w:style>
  <w:style w:type="character" w:customStyle="1" w:styleId="Heading7Char">
    <w:name w:val="Heading 7 Char"/>
    <w:basedOn w:val="DefaultParagraphFont"/>
    <w:link w:val="Heading7"/>
    <w:uiPriority w:val="9"/>
    <w:rPr>
      <w:rFonts w:ascii="Arial" w:eastAsia="Arial" w:hAnsi="Arial" w:cs="Arial"/>
      <w:b/>
      <w:bCs/>
      <w:i/>
      <w:iCs/>
      <w:sz w:val="22"/>
      <w:szCs w:val="22"/>
    </w:rPr>
  </w:style>
  <w:style w:type="character" w:customStyle="1" w:styleId="Heading8Char">
    <w:name w:val="Heading 8 Char"/>
    <w:basedOn w:val="DefaultParagraphFont"/>
    <w:link w:val="Heading8"/>
    <w:uiPriority w:val="9"/>
    <w:rPr>
      <w:rFonts w:ascii="Arial" w:eastAsia="Arial" w:hAnsi="Arial" w:cs="Arial"/>
      <w:i/>
      <w:iCs/>
      <w:sz w:val="22"/>
      <w:szCs w:val="22"/>
    </w:rPr>
  </w:style>
  <w:style w:type="character" w:customStyle="1" w:styleId="Heading9Char">
    <w:name w:val="Heading 9 Char"/>
    <w:basedOn w:val="DefaultParagraphFont"/>
    <w:link w:val="Heading9"/>
    <w:uiPriority w:val="9"/>
    <w:rPr>
      <w:rFonts w:ascii="Arial" w:eastAsia="Arial" w:hAnsi="Arial" w:cs="Arial"/>
      <w:i/>
      <w:iCs/>
      <w:sz w:val="21"/>
      <w:szCs w:val="21"/>
    </w:rPr>
  </w:style>
  <w:style w:type="paragraph" w:styleId="ListParagraph">
    <w:name w:val="List Paragraph"/>
    <w:basedOn w:val="Normal"/>
    <w:uiPriority w:val="34"/>
    <w:qFormat/>
    <w:pPr>
      <w:ind w:left="720"/>
      <w:contextualSpacing/>
    </w:pPr>
  </w:style>
  <w:style w:type="paragraph" w:styleId="NoSpacing">
    <w:name w:val="No Spacing"/>
    <w:uiPriority w:val="1"/>
    <w:qFormat/>
    <w:pPr>
      <w:spacing w:after="0" w:line="240" w:lineRule="auto"/>
    </w:pPr>
  </w:style>
  <w:style w:type="paragraph" w:styleId="Title">
    <w:name w:val="Title"/>
    <w:basedOn w:val="Normal"/>
    <w:next w:val="Normal"/>
    <w:link w:val="TitleChar"/>
    <w:uiPriority w:val="10"/>
    <w:qFormat/>
    <w:pPr>
      <w:spacing w:before="300" w:after="200"/>
      <w:contextualSpacing/>
    </w:pPr>
    <w:rPr>
      <w:sz w:val="48"/>
      <w:szCs w:val="48"/>
    </w:rPr>
  </w:style>
  <w:style w:type="character" w:customStyle="1" w:styleId="TitleChar">
    <w:name w:val="Title Char"/>
    <w:basedOn w:val="DefaultParagraphFont"/>
    <w:link w:val="Title"/>
    <w:uiPriority w:val="10"/>
    <w:rPr>
      <w:sz w:val="48"/>
      <w:szCs w:val="48"/>
    </w:rPr>
  </w:style>
  <w:style w:type="paragraph" w:styleId="Subtitle">
    <w:name w:val="Subtitle"/>
    <w:basedOn w:val="Normal"/>
    <w:next w:val="Normal"/>
    <w:link w:val="SubtitleChar"/>
    <w:uiPriority w:val="11"/>
    <w:qFormat/>
    <w:pPr>
      <w:spacing w:before="200" w:after="200"/>
    </w:pPr>
    <w:rPr>
      <w:sz w:val="24"/>
      <w:szCs w:val="24"/>
    </w:rPr>
  </w:style>
  <w:style w:type="character" w:customStyle="1" w:styleId="SubtitleChar">
    <w:name w:val="Subtitle Char"/>
    <w:basedOn w:val="DefaultParagraphFont"/>
    <w:link w:val="Subtitle"/>
    <w:uiPriority w:val="11"/>
    <w:rPr>
      <w:sz w:val="24"/>
      <w:szCs w:val="24"/>
    </w:rPr>
  </w:style>
  <w:style w:type="paragraph" w:styleId="Quote">
    <w:name w:val="Quote"/>
    <w:basedOn w:val="Normal"/>
    <w:next w:val="Normal"/>
    <w:link w:val="QuoteChar"/>
    <w:uiPriority w:val="29"/>
    <w:qFormat/>
    <w:pPr>
      <w:ind w:left="720" w:right="720"/>
    </w:pPr>
    <w:rPr>
      <w:i/>
    </w:rPr>
  </w:style>
  <w:style w:type="character" w:customStyle="1" w:styleId="QuoteChar">
    <w:name w:val="Quote Char"/>
    <w:link w:val="Quote"/>
    <w:uiPriority w:val="29"/>
    <w:rPr>
      <w:i/>
    </w:rPr>
  </w:style>
  <w:style w:type="paragraph" w:styleId="IntenseQuote">
    <w:name w:val="Intense Quote"/>
    <w:basedOn w:val="Normal"/>
    <w:next w:val="Normal"/>
    <w:link w:val="IntenseQuote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Pr>
      <w:i/>
    </w:rPr>
  </w:style>
  <w:style w:type="paragraph" w:styleId="Caption">
    <w:name w:val="caption"/>
    <w:basedOn w:val="Normal"/>
    <w:next w:val="Normal"/>
    <w:uiPriority w:val="35"/>
    <w:semiHidden/>
    <w:unhideWhenUsed/>
    <w:qFormat/>
    <w:pPr>
      <w:spacing w:line="276" w:lineRule="auto"/>
    </w:pPr>
    <w:rPr>
      <w:b/>
      <w:bCs/>
      <w:color w:val="4472C4" w:themeColor="accent1"/>
      <w:sz w:val="18"/>
      <w:szCs w:val="18"/>
    </w:rPr>
  </w:style>
  <w:style w:type="character" w:customStyle="1" w:styleId="CaptionChar">
    <w:name w:val="Caption Char"/>
    <w:uiPriority w:val="99"/>
  </w:style>
  <w:style w:type="table" w:styleId="TableGrid">
    <w:name w:val="Table Grid"/>
    <w:basedOn w:val="TableNormal"/>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1">
    <w:name w:val="Table Grid Light1"/>
    <w:basedOn w:val="Table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1">
    <w:name w:val="Grid Table 1 Light - Accent 11"/>
    <w:basedOn w:val="TableNormal"/>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1">
    <w:name w:val="Grid Table 1 Light - Accent 21"/>
    <w:basedOn w:val="TableNormal"/>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1">
    <w:name w:val="Grid Table 1 Light - Accent 31"/>
    <w:basedOn w:val="TableNormal"/>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1">
    <w:name w:val="Grid Table 1 Light - Accent 41"/>
    <w:basedOn w:val="TableNormal"/>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1">
    <w:name w:val="Grid Table 1 Light - Accent 51"/>
    <w:basedOn w:val="TableNormal"/>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1">
    <w:name w:val="Grid Table 1 Light - Accent 61"/>
    <w:basedOn w:val="TableNormal"/>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GridTable2">
    <w:name w:val="Grid Table 2"/>
    <w:basedOn w:val="Table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1">
    <w:name w:val="Grid Table 2 - Accent 11"/>
    <w:basedOn w:val="TableNormal"/>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1">
    <w:name w:val="Grid Table 2 - Accent 21"/>
    <w:basedOn w:val="TableNormal"/>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1">
    <w:name w:val="Grid Table 2 - Accent 31"/>
    <w:basedOn w:val="TableNormal"/>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1">
    <w:name w:val="Grid Table 2 - Accent 41"/>
    <w:basedOn w:val="TableNormal"/>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1">
    <w:name w:val="Grid Table 2 - Accent 51"/>
    <w:basedOn w:val="TableNormal"/>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1">
    <w:name w:val="Grid Table 2 - Accent 61"/>
    <w:basedOn w:val="TableNormal"/>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ridTable3">
    <w:name w:val="Grid Table 3"/>
    <w:basedOn w:val="Table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1">
    <w:name w:val="Grid Table 3 - Accent 11"/>
    <w:basedOn w:val="TableNormal"/>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1">
    <w:name w:val="Grid Table 3 - Accent 21"/>
    <w:basedOn w:val="TableNormal"/>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1">
    <w:name w:val="Grid Table 3 - Accent 31"/>
    <w:basedOn w:val="TableNormal"/>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1">
    <w:name w:val="Grid Table 3 - Accent 41"/>
    <w:basedOn w:val="TableNormal"/>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1">
    <w:name w:val="Grid Table 3 - Accent 51"/>
    <w:basedOn w:val="TableNormal"/>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1">
    <w:name w:val="Grid Table 3 - Accent 61"/>
    <w:basedOn w:val="TableNormal"/>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ridTable4">
    <w:name w:val="Grid Table 4"/>
    <w:basedOn w:val="TableNormal"/>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1">
    <w:name w:val="Grid Table 4 - Accent 11"/>
    <w:basedOn w:val="TableNormal"/>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1">
    <w:name w:val="Grid Table 4 - Accent 21"/>
    <w:basedOn w:val="TableNormal"/>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1">
    <w:name w:val="Grid Table 4 - Accent 31"/>
    <w:basedOn w:val="TableNormal"/>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1">
    <w:name w:val="Grid Table 4 - Accent 41"/>
    <w:basedOn w:val="TableNormal"/>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1">
    <w:name w:val="Grid Table 4 - Accent 51"/>
    <w:basedOn w:val="TableNormal"/>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1">
    <w:name w:val="Grid Table 4 - Accent 61"/>
    <w:basedOn w:val="TableNormal"/>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ridTable5Dark">
    <w:name w:val="Grid Table 5 Dark"/>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1">
    <w:name w:val="Grid Table 5 Dark - Accent 2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1">
    <w:name w:val="Grid Table 5 Dark - Accent 3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1">
    <w:name w:val="Grid Table 5 Dark - Accent 5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1">
    <w:name w:val="Grid Table 5 Dark - Accent 6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GridTable6Colorful">
    <w:name w:val="Grid Table 6 Colorful"/>
    <w:basedOn w:val="TableNormal"/>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1">
    <w:name w:val="Grid Table 6 Colorful - Accent 11"/>
    <w:basedOn w:val="TableNormal"/>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1">
    <w:name w:val="Grid Table 6 Colorful - Accent 21"/>
    <w:basedOn w:val="TableNormal"/>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1">
    <w:name w:val="Grid Table 6 Colorful - Accent 31"/>
    <w:basedOn w:val="TableNormal"/>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1">
    <w:name w:val="Grid Table 6 Colorful - Accent 41"/>
    <w:basedOn w:val="TableNormal"/>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1">
    <w:name w:val="Grid Table 6 Colorful - Accent 51"/>
    <w:basedOn w:val="TableNormal"/>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1">
    <w:name w:val="Grid Table 6 Colorful - Accent 61"/>
    <w:basedOn w:val="TableNormal"/>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GridTable7Colorful">
    <w:name w:val="Grid Table 7 Colorful"/>
    <w:basedOn w:val="TableNormal"/>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1">
    <w:name w:val="Grid Table 7 Colorful - Accent 11"/>
    <w:basedOn w:val="TableNormal"/>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0" w:space="0" w:color="auto"/>
          <w:left w:val="none" w:sz="0" w:space="0" w:color="auto"/>
          <w:bottom w:val="single" w:sz="4" w:space="0" w:color="A0B7E1" w:themeColor="accent1" w:themeTint="80"/>
          <w:right w:val="none" w:sz="0" w:space="0" w:color="auto"/>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0" w:space="0" w:color="auto"/>
          <w:left w:val="none" w:sz="0" w:space="0" w:color="auto"/>
          <w:bottom w:val="none" w:sz="0" w:space="0" w:color="auto"/>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0" w:space="0" w:color="auto"/>
          <w:left w:val="single" w:sz="4" w:space="0" w:color="A0B7E1" w:themeColor="accent1" w:themeTint="80"/>
          <w:bottom w:val="none" w:sz="0" w:space="0" w:color="auto"/>
          <w:right w:val="none" w:sz="0" w:space="0" w:color="auto"/>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1">
    <w:name w:val="Grid Table 7 Colorful - Accent 21"/>
    <w:basedOn w:val="TableNormal"/>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1">
    <w:name w:val="Grid Table 7 Colorful - Accent 31"/>
    <w:basedOn w:val="TableNormal"/>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1">
    <w:name w:val="Grid Table 7 Colorful - Accent 41"/>
    <w:basedOn w:val="TableNormal"/>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1">
    <w:name w:val="Grid Table 7 Colorful - Accent 51"/>
    <w:basedOn w:val="TableNormal"/>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0" w:space="0" w:color="auto"/>
          <w:left w:val="none" w:sz="0" w:space="0" w:color="auto"/>
          <w:bottom w:val="single" w:sz="4" w:space="0" w:color="A2C6E7" w:themeColor="accent5" w:themeTint="90"/>
          <w:right w:val="none" w:sz="0" w:space="0" w:color="auto"/>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0" w:space="0" w:color="auto"/>
          <w:left w:val="none" w:sz="0" w:space="0" w:color="auto"/>
          <w:bottom w:val="none" w:sz="0" w:space="0" w:color="auto"/>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0" w:space="0" w:color="auto"/>
          <w:left w:val="single" w:sz="4" w:space="0" w:color="A2C6E7" w:themeColor="accent5" w:themeTint="90"/>
          <w:bottom w:val="none" w:sz="0" w:space="0" w:color="auto"/>
          <w:right w:val="none" w:sz="0" w:space="0" w:color="auto"/>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1">
    <w:name w:val="Grid Table 7 Colorful - Accent 61"/>
    <w:basedOn w:val="TableNormal"/>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ListTable1Light">
    <w:name w:val="List Table 1 Light"/>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1">
    <w:name w:val="List Table 1 Light - Accent 1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1">
    <w:name w:val="List Table 1 Light - Accent 2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1">
    <w:name w:val="List Table 1 Light - Accent 3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1">
    <w:name w:val="List Table 1 Light - Accent 4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1">
    <w:name w:val="List Table 1 Light - Accent 5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1">
    <w:name w:val="List Table 1 Light - Accent 6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ListTable2">
    <w:name w:val="List Table 2"/>
    <w:basedOn w:val="TableNormal"/>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1">
    <w:name w:val="List Table 2 - Accent 11"/>
    <w:basedOn w:val="TableNormal"/>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1">
    <w:name w:val="List Table 2 - Accent 21"/>
    <w:basedOn w:val="TableNormal"/>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1">
    <w:name w:val="List Table 2 - Accent 31"/>
    <w:basedOn w:val="TableNormal"/>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1">
    <w:name w:val="List Table 2 - Accent 41"/>
    <w:basedOn w:val="TableNormal"/>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1">
    <w:name w:val="List Table 2 - Accent 51"/>
    <w:basedOn w:val="TableNormal"/>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1">
    <w:name w:val="List Table 2 - Accent 61"/>
    <w:basedOn w:val="TableNormal"/>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Table3">
    <w:name w:val="List Table 3"/>
    <w:basedOn w:val="Table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1">
    <w:name w:val="List Table 3 - Accent 11"/>
    <w:basedOn w:val="TableNormal"/>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1">
    <w:name w:val="List Table 3 - Accent 21"/>
    <w:basedOn w:val="TableNormal"/>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1">
    <w:name w:val="List Table 3 - Accent 31"/>
    <w:basedOn w:val="TableNormal"/>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1">
    <w:name w:val="List Table 3 - Accent 41"/>
    <w:basedOn w:val="TableNormal"/>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1">
    <w:name w:val="List Table 3 - Accent 51"/>
    <w:basedOn w:val="TableNormal"/>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1">
    <w:name w:val="List Table 3 - Accent 61"/>
    <w:basedOn w:val="TableNormal"/>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ListTable4">
    <w:name w:val="List Table 4"/>
    <w:basedOn w:val="Table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1">
    <w:name w:val="List Table 4 - Accent 11"/>
    <w:basedOn w:val="TableNormal"/>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1">
    <w:name w:val="List Table 4 - Accent 21"/>
    <w:basedOn w:val="TableNormal"/>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1">
    <w:name w:val="List Table 4 - Accent 31"/>
    <w:basedOn w:val="TableNormal"/>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1">
    <w:name w:val="List Table 4 - Accent 41"/>
    <w:basedOn w:val="TableNormal"/>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1">
    <w:name w:val="List Table 4 - Accent 51"/>
    <w:basedOn w:val="TableNormal"/>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1">
    <w:name w:val="List Table 4 - Accent 61"/>
    <w:basedOn w:val="TableNormal"/>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Table5Dark">
    <w:name w:val="List Table 5 Dark"/>
    <w:basedOn w:val="TableNormal"/>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1">
    <w:name w:val="List Table 5 Dark - Accent 11"/>
    <w:basedOn w:val="TableNormal"/>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1">
    <w:name w:val="List Table 5 Dark - Accent 21"/>
    <w:basedOn w:val="TableNormal"/>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1">
    <w:name w:val="List Table 5 Dark - Accent 31"/>
    <w:basedOn w:val="TableNormal"/>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1">
    <w:name w:val="List Table 5 Dark - Accent 41"/>
    <w:basedOn w:val="TableNormal"/>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1">
    <w:name w:val="List Table 5 Dark - Accent 51"/>
    <w:basedOn w:val="TableNormal"/>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1">
    <w:name w:val="List Table 5 Dark - Accent 61"/>
    <w:basedOn w:val="TableNormal"/>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ListTable6Colorful">
    <w:name w:val="List Table 6 Colorful"/>
    <w:basedOn w:val="TableNormal"/>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1">
    <w:name w:val="List Table 6 Colorful - Accent 11"/>
    <w:basedOn w:val="TableNormal"/>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1">
    <w:name w:val="List Table 6 Colorful - Accent 21"/>
    <w:basedOn w:val="TableNormal"/>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1">
    <w:name w:val="List Table 6 Colorful - Accent 31"/>
    <w:basedOn w:val="TableNormal"/>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1">
    <w:name w:val="List Table 6 Colorful - Accent 41"/>
    <w:basedOn w:val="TableNormal"/>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1">
    <w:name w:val="List Table 6 Colorful - Accent 51"/>
    <w:basedOn w:val="TableNormal"/>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1">
    <w:name w:val="List Table 6 Colorful - Accent 61"/>
    <w:basedOn w:val="TableNormal"/>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ListTable7Colorful">
    <w:name w:val="List Table 7 Colorful"/>
    <w:basedOn w:val="TableNormal"/>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1">
    <w:name w:val="List Table 7 Colorful - Accent 11"/>
    <w:basedOn w:val="TableNormal"/>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0" w:space="0" w:color="auto"/>
          <w:left w:val="none" w:sz="0" w:space="0" w:color="auto"/>
          <w:bottom w:val="single" w:sz="4" w:space="0" w:color="4472C4" w:themeColor="accent1"/>
          <w:right w:val="none" w:sz="0" w:space="0" w:color="auto"/>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0" w:space="0" w:color="auto"/>
          <w:left w:val="none" w:sz="0" w:space="0" w:color="auto"/>
          <w:bottom w:val="none" w:sz="0" w:space="0" w:color="auto"/>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0" w:space="0" w:color="auto"/>
          <w:left w:val="single" w:sz="4" w:space="0" w:color="4472C4" w:themeColor="accent1"/>
          <w:bottom w:val="none" w:sz="0" w:space="0" w:color="auto"/>
          <w:right w:val="none" w:sz="0" w:space="0" w:color="auto"/>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1">
    <w:name w:val="List Table 7 Colorful - Accent 21"/>
    <w:basedOn w:val="TableNormal"/>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1">
    <w:name w:val="List Table 7 Colorful - Accent 31"/>
    <w:basedOn w:val="TableNormal"/>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1">
    <w:name w:val="List Table 7 Colorful - Accent 41"/>
    <w:basedOn w:val="TableNormal"/>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1">
    <w:name w:val="List Table 7 Colorful - Accent 51"/>
    <w:basedOn w:val="TableNormal"/>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0" w:space="0" w:color="auto"/>
          <w:left w:val="none" w:sz="0" w:space="0" w:color="auto"/>
          <w:bottom w:val="single" w:sz="4" w:space="0" w:color="9BC2E5" w:themeColor="accent5" w:themeTint="9A"/>
          <w:right w:val="none" w:sz="0" w:space="0" w:color="auto"/>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0" w:space="0" w:color="auto"/>
          <w:left w:val="none" w:sz="0" w:space="0" w:color="auto"/>
          <w:bottom w:val="none" w:sz="0" w:space="0" w:color="auto"/>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0" w:space="0" w:color="auto"/>
          <w:left w:val="single" w:sz="4" w:space="0" w:color="9BC2E5" w:themeColor="accent5" w:themeTint="9A"/>
          <w:bottom w:val="none" w:sz="0" w:space="0" w:color="auto"/>
          <w:right w:val="none" w:sz="0" w:space="0" w:color="auto"/>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1">
    <w:name w:val="List Table 7 Colorful - Accent 61"/>
    <w:basedOn w:val="TableNormal"/>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TableNormal"/>
    <w:uiPriority w:val="99"/>
    <w:pPr>
      <w:spacing w:after="0" w:line="240" w:lineRule="auto"/>
    </w:pPr>
    <w:rPr>
      <w:color w:val="404040"/>
      <w:sz w:val="20"/>
      <w:szCs w:val="20"/>
      <w:lang w:val="de-DE" w:eastAsia="de-DE"/>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TableNormal"/>
    <w:uiPriority w:val="99"/>
    <w:pPr>
      <w:spacing w:after="0" w:line="240" w:lineRule="auto"/>
    </w:pPr>
    <w:rPr>
      <w:color w:val="404040"/>
      <w:sz w:val="20"/>
      <w:szCs w:val="20"/>
      <w:lang w:val="de-DE" w:eastAsia="de-DE"/>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TableNormal"/>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TableNormal"/>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TableNormal"/>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TableNormal"/>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TableNormal"/>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TableNormal"/>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TOC1">
    <w:name w:val="toc 1"/>
    <w:basedOn w:val="Normal"/>
    <w:next w:val="Normal"/>
    <w:uiPriority w:val="39"/>
    <w:unhideWhenUsed/>
    <w:pPr>
      <w:spacing w:after="57"/>
    </w:pPr>
  </w:style>
  <w:style w:type="paragraph" w:styleId="TOC2">
    <w:name w:val="toc 2"/>
    <w:basedOn w:val="Normal"/>
    <w:next w:val="Normal"/>
    <w:uiPriority w:val="39"/>
    <w:unhideWhenUsed/>
    <w:pPr>
      <w:spacing w:after="57"/>
      <w:ind w:left="283"/>
    </w:pPr>
  </w:style>
  <w:style w:type="paragraph" w:styleId="TOC3">
    <w:name w:val="toc 3"/>
    <w:basedOn w:val="Normal"/>
    <w:next w:val="Normal"/>
    <w:uiPriority w:val="39"/>
    <w:unhideWhenUsed/>
    <w:pPr>
      <w:spacing w:after="57"/>
      <w:ind w:left="567"/>
    </w:pPr>
  </w:style>
  <w:style w:type="paragraph" w:styleId="TOC4">
    <w:name w:val="toc 4"/>
    <w:basedOn w:val="Normal"/>
    <w:next w:val="Normal"/>
    <w:uiPriority w:val="39"/>
    <w:unhideWhenUsed/>
    <w:pPr>
      <w:spacing w:after="57"/>
      <w:ind w:left="850"/>
    </w:pPr>
  </w:style>
  <w:style w:type="paragraph" w:styleId="TOC5">
    <w:name w:val="toc 5"/>
    <w:basedOn w:val="Normal"/>
    <w:next w:val="Normal"/>
    <w:uiPriority w:val="39"/>
    <w:unhideWhenUsed/>
    <w:pPr>
      <w:spacing w:after="57"/>
      <w:ind w:left="1134"/>
    </w:pPr>
  </w:style>
  <w:style w:type="paragraph" w:styleId="TOC6">
    <w:name w:val="toc 6"/>
    <w:basedOn w:val="Normal"/>
    <w:next w:val="Normal"/>
    <w:uiPriority w:val="39"/>
    <w:unhideWhenUsed/>
    <w:pPr>
      <w:spacing w:after="57"/>
      <w:ind w:left="1417"/>
    </w:pPr>
  </w:style>
  <w:style w:type="paragraph" w:styleId="TOC7">
    <w:name w:val="toc 7"/>
    <w:basedOn w:val="Normal"/>
    <w:next w:val="Normal"/>
    <w:uiPriority w:val="39"/>
    <w:unhideWhenUsed/>
    <w:pPr>
      <w:spacing w:after="57"/>
      <w:ind w:left="1701"/>
    </w:pPr>
  </w:style>
  <w:style w:type="paragraph" w:styleId="TOC8">
    <w:name w:val="toc 8"/>
    <w:basedOn w:val="Normal"/>
    <w:next w:val="Normal"/>
    <w:uiPriority w:val="39"/>
    <w:unhideWhenUsed/>
    <w:pPr>
      <w:spacing w:after="57"/>
      <w:ind w:left="1984"/>
    </w:pPr>
  </w:style>
  <w:style w:type="paragraph" w:styleId="TOC9">
    <w:name w:val="toc 9"/>
    <w:basedOn w:val="Normal"/>
    <w:next w:val="Normal"/>
    <w:uiPriority w:val="39"/>
    <w:unhideWhenUsed/>
    <w:pPr>
      <w:spacing w:after="57"/>
      <w:ind w:left="2268"/>
    </w:pPr>
  </w:style>
  <w:style w:type="paragraph" w:styleId="TOCHeading">
    <w:name w:val="TOC Heading"/>
    <w:uiPriority w:val="39"/>
    <w:unhideWhenUsed/>
  </w:style>
  <w:style w:type="paragraph" w:styleId="TableofFigures">
    <w:name w:val="table of figures"/>
    <w:basedOn w:val="Normal"/>
    <w:next w:val="Normal"/>
    <w:uiPriority w:val="99"/>
    <w:unhideWhenUsed/>
    <w:pPr>
      <w:spacing w:after="0"/>
    </w:pPr>
  </w:style>
  <w:style w:type="paragraph" w:styleId="EndnoteText">
    <w:name w:val="endnote text"/>
    <w:basedOn w:val="Normal"/>
    <w:link w:val="EndnoteTextChar"/>
    <w:uiPriority w:val="99"/>
    <w:unhideWhenUsed/>
    <w:pPr>
      <w:spacing w:after="0" w:line="240" w:lineRule="auto"/>
    </w:pPr>
    <w:rPr>
      <w:sz w:val="20"/>
      <w:szCs w:val="20"/>
    </w:rPr>
  </w:style>
  <w:style w:type="character" w:customStyle="1" w:styleId="EndnoteTextChar">
    <w:name w:val="Endnote Text Char"/>
    <w:basedOn w:val="DefaultParagraphFont"/>
    <w:link w:val="EndnoteText"/>
    <w:uiPriority w:val="99"/>
    <w:rPr>
      <w:sz w:val="20"/>
      <w:szCs w:val="20"/>
    </w:rPr>
  </w:style>
  <w:style w:type="character" w:styleId="EndnoteReference">
    <w:name w:val="end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paragraph" w:styleId="Revision">
    <w:name w:val="Revision"/>
    <w:hidden/>
    <w:uiPriority w:val="99"/>
    <w:semiHidden/>
    <w:pPr>
      <w:spacing w:after="0" w:line="240" w:lineRule="auto"/>
    </w:pPr>
  </w:style>
  <w:style w:type="character" w:styleId="UnresolvedMention">
    <w:name w:val="Unresolved Mention"/>
    <w:basedOn w:val="DefaultParagraphFont"/>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sid w:val="0071708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oed.com/view/Entry/66231?rskey=t1Kn9f&amp;result=1&amp;isAdvanced=false" TargetMode="External"/><Relationship Id="rId3" Type="http://schemas.openxmlformats.org/officeDocument/2006/relationships/settings" Target="settings.xml"/><Relationship Id="rId7" Type="http://schemas.openxmlformats.org/officeDocument/2006/relationships/hyperlink" Target="about:blank"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7BE2C-78FD-4FD2-8722-84D576BEF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23</Pages>
  <Words>6535</Words>
  <Characters>37256</Characters>
  <Application>Microsoft Office Word</Application>
  <DocSecurity>0</DocSecurity>
  <Lines>310</Lines>
  <Paragraphs>87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43704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Frieda Fofana</dc:creator>
  <cp:lastModifiedBy>Antonia Wimbush</cp:lastModifiedBy>
  <cp:revision>108</cp:revision>
  <cp:lastPrinted>2023-12-14T02:46:00Z</cp:lastPrinted>
  <dcterms:created xsi:type="dcterms:W3CDTF">2023-12-13T22:28:00Z</dcterms:created>
  <dcterms:modified xsi:type="dcterms:W3CDTF">2023-12-14T03:36:00Z</dcterms:modified>
</cp:coreProperties>
</file>