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2510" w:rsidRPr="005D660B" w:rsidRDefault="00AE2510" w:rsidP="008D62C3">
      <w:pPr>
        <w:rPr>
          <w:b/>
        </w:rPr>
      </w:pPr>
      <w:r w:rsidRPr="005D660B">
        <w:rPr>
          <w:b/>
        </w:rPr>
        <w:t xml:space="preserve">Queering Gender </w:t>
      </w:r>
      <w:r w:rsidR="001536A5" w:rsidRPr="005D660B">
        <w:rPr>
          <w:b/>
        </w:rPr>
        <w:t xml:space="preserve">[Identity] </w:t>
      </w:r>
      <w:r w:rsidRPr="005D660B">
        <w:rPr>
          <w:b/>
        </w:rPr>
        <w:t>in International Law</w:t>
      </w:r>
    </w:p>
    <w:p w:rsidR="003C6A4C" w:rsidRPr="009C1663" w:rsidRDefault="003C6A4C" w:rsidP="008D62C3">
      <w:r w:rsidRPr="009C1663">
        <w:t>Dianne Otto</w:t>
      </w:r>
      <w:r w:rsidRPr="009C1663">
        <w:rPr>
          <w:rStyle w:val="FootnoteReference"/>
          <w:rFonts w:cstheme="minorHAnsi"/>
        </w:rPr>
        <w:footnoteReference w:customMarkFollows="1" w:id="1"/>
        <w:sym w:font="Symbol" w:char="F02A"/>
      </w:r>
    </w:p>
    <w:p w:rsidR="007F0523" w:rsidRDefault="007F0523" w:rsidP="008D62C3"/>
    <w:p w:rsidR="00010F1A" w:rsidRPr="009C1663" w:rsidRDefault="00425B11" w:rsidP="008D62C3">
      <w:r>
        <w:t xml:space="preserve">In </w:t>
      </w:r>
      <w:r w:rsidR="00AE2510" w:rsidRPr="009C1663">
        <w:t xml:space="preserve">recognition of the </w:t>
      </w:r>
      <w:r w:rsidR="002E3752" w:rsidRPr="009C1663">
        <w:t xml:space="preserve">multitude </w:t>
      </w:r>
      <w:r w:rsidR="00AE2510" w:rsidRPr="009C1663">
        <w:t xml:space="preserve">of </w:t>
      </w:r>
      <w:r w:rsidR="00835884" w:rsidRPr="009C1663">
        <w:t xml:space="preserve">possible </w:t>
      </w:r>
      <w:r w:rsidR="00AE2510" w:rsidRPr="009C1663">
        <w:t>gender identities, Facebook provide</w:t>
      </w:r>
      <w:r w:rsidR="0042534A">
        <w:t>s</w:t>
      </w:r>
      <w:r w:rsidR="00AE2510" w:rsidRPr="009C1663">
        <w:t xml:space="preserve"> its members with a list of </w:t>
      </w:r>
      <w:r w:rsidR="00894419">
        <w:t xml:space="preserve">fifty-six </w:t>
      </w:r>
      <w:r w:rsidR="00835884" w:rsidRPr="009C1663">
        <w:t>options</w:t>
      </w:r>
      <w:r w:rsidR="00AE2510" w:rsidRPr="009C1663">
        <w:t xml:space="preserve">, </w:t>
      </w:r>
      <w:r w:rsidR="00A1190F" w:rsidRPr="009C1663">
        <w:t xml:space="preserve">in addition to male and female, </w:t>
      </w:r>
      <w:r w:rsidR="00AE2510" w:rsidRPr="009C1663">
        <w:t>fro</w:t>
      </w:r>
      <w:r w:rsidR="00894419">
        <w:t>m which they can choose up to ten</w:t>
      </w:r>
      <w:r w:rsidR="00AE2510" w:rsidRPr="009C1663">
        <w:t xml:space="preserve"> to have recorded in their profiles.</w:t>
      </w:r>
      <w:r w:rsidR="002E3752" w:rsidRPr="009C1663">
        <w:rPr>
          <w:rStyle w:val="FootnoteReference"/>
          <w:rFonts w:cstheme="minorHAnsi"/>
        </w:rPr>
        <w:footnoteReference w:id="2"/>
      </w:r>
      <w:r w:rsidR="00AE2510" w:rsidRPr="009C1663">
        <w:t xml:space="preserve"> </w:t>
      </w:r>
      <w:r w:rsidR="002E3752" w:rsidRPr="009C1663">
        <w:t>For those who are uncertain or confused or just plain curious, an</w:t>
      </w:r>
      <w:r w:rsidR="00A1190F" w:rsidRPr="009C1663">
        <w:t xml:space="preserve">other </w:t>
      </w:r>
      <w:r w:rsidR="002E3752" w:rsidRPr="009C1663">
        <w:t xml:space="preserve"> </w:t>
      </w:r>
      <w:r w:rsidR="00A1190F" w:rsidRPr="009C1663">
        <w:t xml:space="preserve">enterprising cyber forum </w:t>
      </w:r>
      <w:r w:rsidR="00835884" w:rsidRPr="009C1663">
        <w:t xml:space="preserve">provides </w:t>
      </w:r>
      <w:r w:rsidR="00A1190F" w:rsidRPr="009C1663">
        <w:t xml:space="preserve">an </w:t>
      </w:r>
      <w:r w:rsidR="002E3752" w:rsidRPr="009C1663">
        <w:t>o</w:t>
      </w:r>
      <w:r w:rsidR="00AE2510" w:rsidRPr="009C1663">
        <w:t xml:space="preserve">n-line </w:t>
      </w:r>
      <w:r w:rsidR="002E3752" w:rsidRPr="009C1663">
        <w:t>quiz</w:t>
      </w:r>
      <w:r w:rsidR="00A1190F" w:rsidRPr="009C1663">
        <w:t>,</w:t>
      </w:r>
      <w:r w:rsidR="002E3752" w:rsidRPr="009C1663">
        <w:t xml:space="preserve"> </w:t>
      </w:r>
      <w:r w:rsidR="00835884" w:rsidRPr="009C1663">
        <w:t xml:space="preserve">offering </w:t>
      </w:r>
      <w:r w:rsidR="00A1190F" w:rsidRPr="009C1663">
        <w:t>the reassurance of</w:t>
      </w:r>
      <w:r w:rsidR="002E3752" w:rsidRPr="009C1663">
        <w:t xml:space="preserve"> </w:t>
      </w:r>
      <w:r w:rsidR="00A1190F" w:rsidRPr="009C1663">
        <w:t xml:space="preserve">instant </w:t>
      </w:r>
      <w:r w:rsidR="002E3752" w:rsidRPr="009C1663">
        <w:t>diagnosis</w:t>
      </w:r>
      <w:r w:rsidR="00010F1A" w:rsidRPr="009C1663">
        <w:t xml:space="preserve"> of your gender identity</w:t>
      </w:r>
      <w:r w:rsidR="002E3752" w:rsidRPr="009C1663">
        <w:t xml:space="preserve"> after a series of questions </w:t>
      </w:r>
      <w:r w:rsidR="00A1190F" w:rsidRPr="009C1663">
        <w:t xml:space="preserve">have been answered </w:t>
      </w:r>
      <w:r w:rsidR="002E3752" w:rsidRPr="009C1663">
        <w:t xml:space="preserve">about such </w:t>
      </w:r>
      <w:r w:rsidR="0042534A">
        <w:t xml:space="preserve">matters </w:t>
      </w:r>
      <w:r w:rsidR="002E3752" w:rsidRPr="009C1663">
        <w:t xml:space="preserve">as what makes you cry and whether </w:t>
      </w:r>
      <w:r w:rsidR="00010F1A" w:rsidRPr="009C1663">
        <w:t>you</w:t>
      </w:r>
      <w:r w:rsidR="003F28C7" w:rsidRPr="009C1663">
        <w:t xml:space="preserve"> need someone else’s constant attention.</w:t>
      </w:r>
      <w:r w:rsidR="002E3752" w:rsidRPr="009C1663">
        <w:rPr>
          <w:rStyle w:val="FootnoteReference"/>
          <w:rFonts w:cstheme="minorHAnsi"/>
        </w:rPr>
        <w:footnoteReference w:id="3"/>
      </w:r>
      <w:r w:rsidR="00A1190F" w:rsidRPr="009C1663">
        <w:t xml:space="preserve"> My own result was that I was ‘male’ with higher stereotypically female traits than stereotypically male traits</w:t>
      </w:r>
      <w:r w:rsidR="0042534A">
        <w:t>; c</w:t>
      </w:r>
      <w:r w:rsidR="0042534A" w:rsidRPr="009C1663">
        <w:t xml:space="preserve">learly </w:t>
      </w:r>
      <w:r w:rsidR="0042534A">
        <w:t>lacking was the vast</w:t>
      </w:r>
      <w:r w:rsidR="00213D84" w:rsidRPr="009C1663">
        <w:t xml:space="preserve"> range of options </w:t>
      </w:r>
      <w:r w:rsidR="00A1190F" w:rsidRPr="009C1663">
        <w:t xml:space="preserve">offered by Facebook. </w:t>
      </w:r>
    </w:p>
    <w:p w:rsidR="00010F1A" w:rsidRPr="009C1663" w:rsidRDefault="0042534A" w:rsidP="008D62C3">
      <w:r>
        <w:t>F</w:t>
      </w:r>
      <w:r w:rsidR="00425B11">
        <w:t>ollowing Facebook’s lead, I argue in this paper that it is important to recognize that everyone has a ‘gender identity’</w:t>
      </w:r>
      <w:r w:rsidR="00D039DD">
        <w:t xml:space="preserve"> -</w:t>
      </w:r>
      <w:r w:rsidR="00425B11">
        <w:t xml:space="preserve"> </w:t>
      </w:r>
      <w:r w:rsidR="00C945BB">
        <w:t>including</w:t>
      </w:r>
      <w:r w:rsidR="00425B11">
        <w:t xml:space="preserve"> </w:t>
      </w:r>
      <w:r w:rsidR="00F12ED3">
        <w:t xml:space="preserve">those who identify as </w:t>
      </w:r>
      <w:r w:rsidR="00C945BB">
        <w:t>cis</w:t>
      </w:r>
      <w:r w:rsidR="00023BCF">
        <w:t>gendered</w:t>
      </w:r>
      <w:r w:rsidR="00023BCF">
        <w:rPr>
          <w:rStyle w:val="FootnoteReference"/>
        </w:rPr>
        <w:footnoteReference w:id="4"/>
      </w:r>
      <w:r w:rsidR="00F12ED3">
        <w:t xml:space="preserve"> </w:t>
      </w:r>
      <w:r w:rsidR="00D039DD">
        <w:t>– and that there is a dynamic relationship between the body and identity which gives rise to multiple possible alignments</w:t>
      </w:r>
      <w:r w:rsidR="003B33CE">
        <w:t>, which can change over time, or even from moment to moment</w:t>
      </w:r>
      <w:r w:rsidR="00C945BB">
        <w:t xml:space="preserve">. </w:t>
      </w:r>
      <w:r w:rsidR="00425B11">
        <w:t xml:space="preserve">Consequently, </w:t>
      </w:r>
      <w:r w:rsidR="008254A1" w:rsidRPr="009C1663">
        <w:t>th</w:t>
      </w:r>
      <w:r w:rsidR="00425B11">
        <w:t>e tendency for gender identity</w:t>
      </w:r>
      <w:r w:rsidR="008254A1" w:rsidRPr="009C1663">
        <w:t xml:space="preserve"> to be</w:t>
      </w:r>
      <w:r w:rsidR="00406245">
        <w:t xml:space="preserve"> understood as dualistic (m/f) and</w:t>
      </w:r>
      <w:r w:rsidR="008254A1" w:rsidRPr="009C1663">
        <w:t xml:space="preserve"> treated as a category that applies only to transgendered </w:t>
      </w:r>
      <w:r w:rsidR="00E0261E">
        <w:t xml:space="preserve">people </w:t>
      </w:r>
      <w:r w:rsidR="00023BCF">
        <w:t>(</w:t>
      </w:r>
      <w:r w:rsidR="00CD5A45">
        <w:t xml:space="preserve">and </w:t>
      </w:r>
      <w:r w:rsidR="00672F02">
        <w:t xml:space="preserve">sometimes </w:t>
      </w:r>
      <w:r w:rsidR="00EF4055">
        <w:t xml:space="preserve">perhaps </w:t>
      </w:r>
      <w:r w:rsidR="00CD5A45">
        <w:t xml:space="preserve">to </w:t>
      </w:r>
      <w:r w:rsidR="00010F1A" w:rsidRPr="009C1663">
        <w:lastRenderedPageBreak/>
        <w:t>intersex</w:t>
      </w:r>
      <w:r w:rsidR="00CD5A45">
        <w:t xml:space="preserve"> people</w:t>
      </w:r>
      <w:r w:rsidR="00023BCF">
        <w:t xml:space="preserve">) </w:t>
      </w:r>
      <w:r w:rsidR="00425B11">
        <w:t xml:space="preserve">needs to be resisted, </w:t>
      </w:r>
      <w:r w:rsidR="00672F02">
        <w:t xml:space="preserve">but without obscuring </w:t>
      </w:r>
      <w:r w:rsidR="00425B11">
        <w:t xml:space="preserve">the specificity </w:t>
      </w:r>
      <w:r w:rsidR="009D35F0">
        <w:t xml:space="preserve">and diversity </w:t>
      </w:r>
      <w:r w:rsidR="00425B11">
        <w:t xml:space="preserve">of </w:t>
      </w:r>
      <w:r w:rsidR="00672F02">
        <w:t xml:space="preserve">the human rights </w:t>
      </w:r>
      <w:r w:rsidR="00E0261E">
        <w:t xml:space="preserve">abuses </w:t>
      </w:r>
      <w:r w:rsidR="003B33CE">
        <w:t xml:space="preserve">more </w:t>
      </w:r>
      <w:r w:rsidR="00E0261E">
        <w:t xml:space="preserve">likely to be suffered by those who are, or are perceived to be transgendered, such as </w:t>
      </w:r>
      <w:r w:rsidR="001536A5">
        <w:t xml:space="preserve">trans-phobic </w:t>
      </w:r>
      <w:r w:rsidR="00B42278">
        <w:t>violence</w:t>
      </w:r>
      <w:r w:rsidR="00E0774B">
        <w:t xml:space="preserve"> </w:t>
      </w:r>
      <w:r w:rsidR="009D35F0">
        <w:t xml:space="preserve">and </w:t>
      </w:r>
      <w:r w:rsidR="001536A5">
        <w:t xml:space="preserve">the </w:t>
      </w:r>
      <w:r w:rsidR="009D35F0">
        <w:t xml:space="preserve">denial of </w:t>
      </w:r>
      <w:r w:rsidR="001536A5">
        <w:t xml:space="preserve">individual </w:t>
      </w:r>
      <w:r w:rsidR="009D35F0">
        <w:t xml:space="preserve">freedom to define and redefine </w:t>
      </w:r>
      <w:r w:rsidR="001536A5">
        <w:t xml:space="preserve">one’s </w:t>
      </w:r>
      <w:r w:rsidR="009D35F0">
        <w:t>own gender identity as l</w:t>
      </w:r>
      <w:r w:rsidR="001536A5">
        <w:t>ife</w:t>
      </w:r>
      <w:r w:rsidR="009D35F0">
        <w:t xml:space="preserve"> unfold</w:t>
      </w:r>
      <w:r w:rsidR="001536A5">
        <w:t>s</w:t>
      </w:r>
      <w:r w:rsidR="009D35F0">
        <w:t>.</w:t>
      </w:r>
      <w:r w:rsidR="009D35F0">
        <w:rPr>
          <w:rStyle w:val="FootnoteReference"/>
        </w:rPr>
        <w:footnoteReference w:id="5"/>
      </w:r>
      <w:r w:rsidR="00C945BB">
        <w:t xml:space="preserve"> </w:t>
      </w:r>
      <w:r w:rsidR="00341A09" w:rsidRPr="009C1663">
        <w:t xml:space="preserve">I </w:t>
      </w:r>
      <w:r w:rsidR="00010F1A" w:rsidRPr="009C1663">
        <w:t xml:space="preserve">am concerned </w:t>
      </w:r>
      <w:r w:rsidR="00341A09" w:rsidRPr="009C1663">
        <w:t xml:space="preserve">that feminist and queer human rights advocates have been working in isolation </w:t>
      </w:r>
      <w:r w:rsidR="001536A5">
        <w:t>and at odds with</w:t>
      </w:r>
      <w:r w:rsidR="00341A09" w:rsidRPr="009C1663">
        <w:t xml:space="preserve"> each other </w:t>
      </w:r>
      <w:r w:rsidR="00672F02">
        <w:t xml:space="preserve">on </w:t>
      </w:r>
      <w:r w:rsidR="00D827AC" w:rsidRPr="009C1663">
        <w:t xml:space="preserve">issues of gender </w:t>
      </w:r>
      <w:r w:rsidR="001536A5">
        <w:t>[</w:t>
      </w:r>
      <w:r w:rsidR="00D827AC" w:rsidRPr="009C1663">
        <w:t>identity</w:t>
      </w:r>
      <w:r w:rsidR="001536A5">
        <w:t>]</w:t>
      </w:r>
      <w:r w:rsidR="00222504">
        <w:rPr>
          <w:rStyle w:val="FootnoteReference"/>
        </w:rPr>
        <w:footnoteReference w:id="6"/>
      </w:r>
      <w:r w:rsidR="00341A09" w:rsidRPr="009C1663">
        <w:t xml:space="preserve"> and </w:t>
      </w:r>
      <w:r w:rsidR="00C945BB">
        <w:t xml:space="preserve">my argument is </w:t>
      </w:r>
      <w:r w:rsidR="00341A09" w:rsidRPr="009C1663">
        <w:t xml:space="preserve">that this needs to change if we are ever to develop a </w:t>
      </w:r>
      <w:r w:rsidR="003B33CE">
        <w:t xml:space="preserve">more </w:t>
      </w:r>
      <w:r w:rsidR="00341A09" w:rsidRPr="009C1663">
        <w:t xml:space="preserve">liberatory </w:t>
      </w:r>
      <w:r w:rsidR="009B5BAF">
        <w:t xml:space="preserve">and inclusive </w:t>
      </w:r>
      <w:r w:rsidR="00341A09" w:rsidRPr="009C1663">
        <w:t xml:space="preserve">conception of gender in international </w:t>
      </w:r>
      <w:r w:rsidR="00023BCF">
        <w:t xml:space="preserve">(and domestic) </w:t>
      </w:r>
      <w:r w:rsidR="00341A09" w:rsidRPr="009C1663">
        <w:t xml:space="preserve">law. </w:t>
      </w:r>
    </w:p>
    <w:p w:rsidR="00C524DA" w:rsidRDefault="00023BCF" w:rsidP="008D62C3">
      <w:r>
        <w:t xml:space="preserve">My </w:t>
      </w:r>
      <w:r w:rsidR="00924775">
        <w:t xml:space="preserve">genealogy </w:t>
      </w:r>
      <w:r>
        <w:t>of recent developments in international human rights law</w:t>
      </w:r>
      <w:r w:rsidR="0013143B">
        <w:t>,</w:t>
      </w:r>
      <w:r w:rsidR="00672F02">
        <w:t xml:space="preserve"> associated with gender identity, </w:t>
      </w:r>
      <w:r w:rsidR="00341A09" w:rsidRPr="009C1663">
        <w:t>start</w:t>
      </w:r>
      <w:r>
        <w:t>s</w:t>
      </w:r>
      <w:r w:rsidR="00341A09" w:rsidRPr="009C1663">
        <w:t xml:space="preserve"> </w:t>
      </w:r>
      <w:r>
        <w:t xml:space="preserve">with </w:t>
      </w:r>
      <w:r w:rsidR="00696822">
        <w:t xml:space="preserve">an account of </w:t>
      </w:r>
      <w:r w:rsidR="00D827AC" w:rsidRPr="009C1663">
        <w:t xml:space="preserve">the crucial role that feminists played in challenging the biological determinism that </w:t>
      </w:r>
      <w:r>
        <w:t>underpins</w:t>
      </w:r>
      <w:r w:rsidR="00D827AC" w:rsidRPr="009C1663">
        <w:t xml:space="preserve"> international law’s</w:t>
      </w:r>
      <w:r w:rsidR="00335607">
        <w:t xml:space="preserve"> historical treatment of women </w:t>
      </w:r>
      <w:r w:rsidR="00D827AC" w:rsidRPr="009C1663">
        <w:t>and men</w:t>
      </w:r>
      <w:r w:rsidR="00672F02">
        <w:t xml:space="preserve">. This challenge </w:t>
      </w:r>
      <w:r w:rsidR="005D409C" w:rsidRPr="009C1663">
        <w:t xml:space="preserve">led </w:t>
      </w:r>
      <w:r w:rsidR="00672F02">
        <w:t>eventually</w:t>
      </w:r>
      <w:r w:rsidR="00EF4055">
        <w:t>,</w:t>
      </w:r>
      <w:r w:rsidR="00672F02">
        <w:t xml:space="preserve"> </w:t>
      </w:r>
      <w:r w:rsidR="00EF4055">
        <w:t xml:space="preserve">despite virulent opposition, </w:t>
      </w:r>
      <w:r w:rsidR="005D409C" w:rsidRPr="009C1663">
        <w:t>to the admission of the language of ‘gender’ in</w:t>
      </w:r>
      <w:r w:rsidR="00010F1A" w:rsidRPr="009C1663">
        <w:t>to</w:t>
      </w:r>
      <w:r w:rsidR="005D409C" w:rsidRPr="009C1663">
        <w:t xml:space="preserve"> </w:t>
      </w:r>
      <w:r w:rsidR="00672F02">
        <w:t>the lexicon of international law in the mid-1990s</w:t>
      </w:r>
      <w:r w:rsidR="00010F1A" w:rsidRPr="009C1663">
        <w:t xml:space="preserve">, </w:t>
      </w:r>
      <w:r w:rsidR="00672F02">
        <w:t xml:space="preserve">which </w:t>
      </w:r>
      <w:r w:rsidR="003B33CE">
        <w:t xml:space="preserve">distinguished between </w:t>
      </w:r>
      <w:r w:rsidR="00C420D9">
        <w:t xml:space="preserve">immutable </w:t>
      </w:r>
      <w:r w:rsidR="003B33CE">
        <w:t>sex (biology) and malleable gender (socially constructed).</w:t>
      </w:r>
      <w:r w:rsidR="003B33CE" w:rsidRPr="003B33CE">
        <w:rPr>
          <w:rStyle w:val="FootnoteReference"/>
        </w:rPr>
        <w:t xml:space="preserve"> </w:t>
      </w:r>
      <w:bookmarkStart w:id="0" w:name="_Ref430707093"/>
      <w:r w:rsidR="003B33CE">
        <w:rPr>
          <w:rStyle w:val="FootnoteReference"/>
        </w:rPr>
        <w:footnoteReference w:id="7"/>
      </w:r>
      <w:bookmarkEnd w:id="0"/>
      <w:r w:rsidR="003B33CE">
        <w:t xml:space="preserve"> </w:t>
      </w:r>
      <w:r w:rsidR="005D409C" w:rsidRPr="009C1663">
        <w:t>I go on</w:t>
      </w:r>
      <w:r w:rsidR="0013143B">
        <w:t>, in part 2,</w:t>
      </w:r>
      <w:r w:rsidR="005D409C" w:rsidRPr="009C1663">
        <w:t xml:space="preserve"> to examine </w:t>
      </w:r>
      <w:r w:rsidR="005C3A7D">
        <w:t xml:space="preserve">the reluctance of many </w:t>
      </w:r>
      <w:r w:rsidR="005D409C" w:rsidRPr="009C1663">
        <w:t>feminist</w:t>
      </w:r>
      <w:r w:rsidR="005C3A7D">
        <w:t>s</w:t>
      </w:r>
      <w:r w:rsidR="005D409C" w:rsidRPr="009C1663">
        <w:t xml:space="preserve"> to fully pursue the opportunities opened by this new understanding of sex/</w:t>
      </w:r>
      <w:r w:rsidR="000F6D61">
        <w:t>gender and, in particular, the</w:t>
      </w:r>
      <w:r w:rsidR="005D409C" w:rsidRPr="009C1663">
        <w:t xml:space="preserve"> failure to </w:t>
      </w:r>
      <w:r w:rsidR="00EC0118">
        <w:t xml:space="preserve">question </w:t>
      </w:r>
      <w:r w:rsidR="005D409C" w:rsidRPr="009C1663">
        <w:t xml:space="preserve">the </w:t>
      </w:r>
      <w:r w:rsidR="0018318E" w:rsidRPr="009C1663">
        <w:t xml:space="preserve">male/female </w:t>
      </w:r>
      <w:r w:rsidR="005D409C" w:rsidRPr="009C1663">
        <w:t xml:space="preserve">dualism </w:t>
      </w:r>
      <w:r w:rsidR="00C420D9">
        <w:t xml:space="preserve">and biological base </w:t>
      </w:r>
      <w:r w:rsidR="005D409C" w:rsidRPr="009C1663">
        <w:t xml:space="preserve">of </w:t>
      </w:r>
      <w:r w:rsidR="00924775">
        <w:t>sex/</w:t>
      </w:r>
      <w:r w:rsidR="005D409C" w:rsidRPr="009C1663">
        <w:t>gender orthodoxy</w:t>
      </w:r>
      <w:r w:rsidR="00EF4055">
        <w:t>,</w:t>
      </w:r>
      <w:r w:rsidR="005D409C" w:rsidRPr="009C1663">
        <w:t xml:space="preserve"> and </w:t>
      </w:r>
      <w:r w:rsidR="0018318E" w:rsidRPr="009C1663">
        <w:t>the</w:t>
      </w:r>
      <w:r w:rsidR="000F6D61">
        <w:t xml:space="preserve"> related</w:t>
      </w:r>
      <w:r w:rsidR="0018318E" w:rsidRPr="009C1663">
        <w:t xml:space="preserve"> unwillingness to address gendered discrimination suffered by men</w:t>
      </w:r>
      <w:r w:rsidR="00010F1A" w:rsidRPr="009C1663">
        <w:t xml:space="preserve"> and other genders</w:t>
      </w:r>
      <w:r w:rsidR="00EC0118">
        <w:t>, often including even transgendered women</w:t>
      </w:r>
      <w:r w:rsidR="0018318E" w:rsidRPr="009C1663">
        <w:t xml:space="preserve">. </w:t>
      </w:r>
      <w:r w:rsidR="0013143B">
        <w:t xml:space="preserve">I use the work of the Committee on the Elimination of Discrimination </w:t>
      </w:r>
      <w:r w:rsidR="00C420D9">
        <w:t>a</w:t>
      </w:r>
      <w:r w:rsidR="0013143B">
        <w:t xml:space="preserve">gainst Women (CEDAW Committee) to illustrate </w:t>
      </w:r>
      <w:r w:rsidR="00BB688B">
        <w:t xml:space="preserve">the constraining effects of </w:t>
      </w:r>
      <w:r w:rsidR="0013143B">
        <w:t>this reluctance.</w:t>
      </w:r>
      <w:r w:rsidR="0057709F">
        <w:t xml:space="preserve"> </w:t>
      </w:r>
    </w:p>
    <w:p w:rsidR="00EF4055" w:rsidRDefault="0057709F" w:rsidP="008D62C3">
      <w:r>
        <w:lastRenderedPageBreak/>
        <w:t xml:space="preserve">Nevertheless, </w:t>
      </w:r>
      <w:r w:rsidR="00834170" w:rsidRPr="00EF4055">
        <w:t>the sex/gender distinction</w:t>
      </w:r>
      <w:r w:rsidR="00EF4055">
        <w:t>,</w:t>
      </w:r>
      <w:r w:rsidR="00834170" w:rsidRPr="00EF4055">
        <w:t xml:space="preserve"> as </w:t>
      </w:r>
      <w:r w:rsidR="009B5BAF" w:rsidRPr="00EF4055">
        <w:t xml:space="preserve">newly </w:t>
      </w:r>
      <w:r w:rsidR="00834170" w:rsidRPr="00EF4055">
        <w:t>described</w:t>
      </w:r>
      <w:r w:rsidR="00EF4055">
        <w:t>,</w:t>
      </w:r>
      <w:r w:rsidR="00834170" w:rsidRPr="00EF4055">
        <w:t xml:space="preserve"> paved the way for other feminists and queer activists to </w:t>
      </w:r>
      <w:r w:rsidR="00BF629D">
        <w:t>denaturalize sex, as well as</w:t>
      </w:r>
      <w:r w:rsidR="00834170" w:rsidRPr="00EF4055">
        <w:t xml:space="preserve"> gender</w:t>
      </w:r>
      <w:r w:rsidR="00D34CCD">
        <w:t>; to understand</w:t>
      </w:r>
      <w:r w:rsidR="00BF629D">
        <w:t xml:space="preserve"> that neither sex or gender exist prior to regulat</w:t>
      </w:r>
      <w:r w:rsidR="00630669">
        <w:t>ory discourses which make certain</w:t>
      </w:r>
      <w:r w:rsidR="00BF629D">
        <w:t xml:space="preserve"> </w:t>
      </w:r>
      <w:r w:rsidR="00630669">
        <w:t>permutations of gender intelligible (normal) and dismiss other</w:t>
      </w:r>
      <w:r w:rsidR="00930ABC">
        <w:t>s</w:t>
      </w:r>
      <w:r w:rsidR="00630669">
        <w:t xml:space="preserve"> that fall outside the m/f binary,</w:t>
      </w:r>
      <w:r w:rsidR="00930ABC">
        <w:t xml:space="preserve"> in various ways, as abnormal.</w:t>
      </w:r>
      <w:r w:rsidR="00930ABC" w:rsidRPr="00930ABC">
        <w:rPr>
          <w:rStyle w:val="FootnoteReference"/>
        </w:rPr>
        <w:t xml:space="preserve"> </w:t>
      </w:r>
      <w:bookmarkStart w:id="1" w:name="_Ref431736311"/>
      <w:r w:rsidR="00930ABC" w:rsidRPr="00EF4055">
        <w:rPr>
          <w:rStyle w:val="FootnoteReference"/>
        </w:rPr>
        <w:footnoteReference w:id="8"/>
      </w:r>
      <w:bookmarkEnd w:id="1"/>
      <w:r w:rsidR="00930ABC">
        <w:t xml:space="preserve"> Rather than being anchored in biology, sex and gender </w:t>
      </w:r>
      <w:r w:rsidR="00D34CCD">
        <w:t>should both be understood as</w:t>
      </w:r>
      <w:r w:rsidR="00930ABC">
        <w:t xml:space="preserve"> </w:t>
      </w:r>
      <w:r w:rsidR="00834170" w:rsidRPr="00EF4055">
        <w:t xml:space="preserve">the effects of performative and reiterative </w:t>
      </w:r>
      <w:r w:rsidR="00BF629D" w:rsidRPr="00EF4055">
        <w:t xml:space="preserve">gender </w:t>
      </w:r>
      <w:r w:rsidR="00BF629D">
        <w:t>norms</w:t>
      </w:r>
      <w:r w:rsidR="00930ABC">
        <w:t xml:space="preserve"> (legal, social, symbolic…)</w:t>
      </w:r>
      <w:r w:rsidR="00834170" w:rsidRPr="00EF4055">
        <w:t xml:space="preserve"> which</w:t>
      </w:r>
      <w:r w:rsidR="00C420D9" w:rsidRPr="00EF4055">
        <w:t xml:space="preserve"> materialize</w:t>
      </w:r>
      <w:r w:rsidR="00834170" w:rsidRPr="00EF4055">
        <w:t xml:space="preserve">, </w:t>
      </w:r>
      <w:r w:rsidR="00BF629D">
        <w:t xml:space="preserve">naturalize, </w:t>
      </w:r>
      <w:r w:rsidR="00834170" w:rsidRPr="00EF4055">
        <w:t xml:space="preserve">regulate and </w:t>
      </w:r>
      <w:r w:rsidR="00B323E6">
        <w:t xml:space="preserve">discipline </w:t>
      </w:r>
      <w:r w:rsidR="00834170" w:rsidRPr="00EF4055">
        <w:t>sexed bodies and identifications.</w:t>
      </w:r>
      <w:r w:rsidR="00EF4055">
        <w:t xml:space="preserve"> Yet</w:t>
      </w:r>
      <w:r w:rsidR="00F85A1C">
        <w:t>,</w:t>
      </w:r>
      <w:r w:rsidR="00EF4055">
        <w:t xml:space="preserve"> as I argue i</w:t>
      </w:r>
      <w:r w:rsidR="009B5BAF">
        <w:t xml:space="preserve">n part 3, </w:t>
      </w:r>
      <w:r w:rsidR="00EF4055">
        <w:t>although advocates for gay, lesbian, bisexual, transgender and intersex (</w:t>
      </w:r>
      <w:r w:rsidR="00EF4055" w:rsidRPr="009C1663">
        <w:t>GLBTI</w:t>
      </w:r>
      <w:r w:rsidR="00EF4055">
        <w:t>)</w:t>
      </w:r>
      <w:r w:rsidR="00EF4055" w:rsidRPr="009C1663">
        <w:t xml:space="preserve"> rights</w:t>
      </w:r>
      <w:r w:rsidR="00EF4055">
        <w:t xml:space="preserve"> </w:t>
      </w:r>
      <w:r w:rsidR="00EF4055" w:rsidRPr="009C1663">
        <w:t>have been</w:t>
      </w:r>
      <w:r w:rsidR="003C36A1">
        <w:t xml:space="preserve"> more</w:t>
      </w:r>
      <w:r w:rsidR="00EF4055" w:rsidRPr="009C1663">
        <w:t xml:space="preserve"> eager</w:t>
      </w:r>
      <w:r w:rsidR="00EF4055">
        <w:t xml:space="preserve"> than many feminists </w:t>
      </w:r>
      <w:r w:rsidR="00EF4055" w:rsidRPr="009C1663">
        <w:t>to explore the new openings for recognition and inclusion presented by the language of gender</w:t>
      </w:r>
      <w:r w:rsidR="00EF4055">
        <w:t xml:space="preserve">, </w:t>
      </w:r>
      <w:r w:rsidR="003C36A1">
        <w:t>their efforts have floundered. While more recent developments in domestic law concerning transgendered people are slowly shifting from a purely ‘(bio)logic’ approach</w:t>
      </w:r>
      <w:r w:rsidR="00F85A1C">
        <w:t>,</w:t>
      </w:r>
      <w:r w:rsidR="003C36A1">
        <w:t xml:space="preserve"> which determines sex at birth</w:t>
      </w:r>
      <w:r w:rsidR="00F85A1C">
        <w:t>,</w:t>
      </w:r>
      <w:bookmarkStart w:id="2" w:name="_Ref431735530"/>
      <w:r w:rsidR="003C36A1">
        <w:rPr>
          <w:rStyle w:val="FootnoteReference"/>
        </w:rPr>
        <w:footnoteReference w:id="9"/>
      </w:r>
      <w:bookmarkEnd w:id="2"/>
      <w:r w:rsidR="003C36A1">
        <w:t xml:space="preserve"> towards a more social approach to recognizing and regulating gendered bodies,</w:t>
      </w:r>
      <w:r w:rsidR="003C36A1">
        <w:rPr>
          <w:rStyle w:val="FootnoteReference"/>
        </w:rPr>
        <w:footnoteReference w:id="10"/>
      </w:r>
      <w:r w:rsidR="003C36A1">
        <w:t xml:space="preserve"> international developments appear to be taking a different course. To </w:t>
      </w:r>
      <w:r w:rsidR="00F85A1C">
        <w:t xml:space="preserve">illustrate </w:t>
      </w:r>
      <w:r w:rsidR="003C36A1">
        <w:t>this</w:t>
      </w:r>
      <w:r w:rsidR="00D34CCD">
        <w:t xml:space="preserve"> problem</w:t>
      </w:r>
      <w:r w:rsidR="003C36A1">
        <w:t xml:space="preserve">, I examine the definition of ‘gender identity’ offered by </w:t>
      </w:r>
      <w:r w:rsidR="003C36A1" w:rsidRPr="009C1663">
        <w:t xml:space="preserve">the </w:t>
      </w:r>
      <w:r w:rsidR="003C36A1">
        <w:t>‘</w:t>
      </w:r>
      <w:r w:rsidR="003C36A1" w:rsidRPr="00894419">
        <w:t xml:space="preserve">Yogyakarta Principles </w:t>
      </w:r>
      <w:r w:rsidR="003C36A1" w:rsidRPr="00894419">
        <w:rPr>
          <w:bCs/>
        </w:rPr>
        <w:t>on the Application of International Human Rights Law in relation to Sexual Orientation and Gender Identity</w:t>
      </w:r>
      <w:r w:rsidR="003C36A1">
        <w:rPr>
          <w:bCs/>
        </w:rPr>
        <w:t>’ (Yogyakarta Principles), drafted i</w:t>
      </w:r>
      <w:r w:rsidR="003C36A1" w:rsidRPr="009C1663">
        <w:t>n 2007</w:t>
      </w:r>
      <w:r w:rsidR="003C36A1">
        <w:t xml:space="preserve"> by a group of human rights experts and activists, which ignore</w:t>
      </w:r>
      <w:r w:rsidR="00F85A1C">
        <w:t>s</w:t>
      </w:r>
      <w:r w:rsidR="003C36A1">
        <w:t xml:space="preserve"> social context and </w:t>
      </w:r>
      <w:r w:rsidR="00B323E6">
        <w:t xml:space="preserve">appears to </w:t>
      </w:r>
      <w:r w:rsidR="003C36A1">
        <w:t>re</w:t>
      </w:r>
      <w:r w:rsidR="00F85A1C">
        <w:t>l</w:t>
      </w:r>
      <w:r w:rsidR="00B323E6">
        <w:t xml:space="preserve">y, </w:t>
      </w:r>
      <w:r w:rsidR="003C36A1">
        <w:t>instead</w:t>
      </w:r>
      <w:r w:rsidR="00B323E6">
        <w:t>,</w:t>
      </w:r>
      <w:r w:rsidR="003C36A1">
        <w:t xml:space="preserve"> on biology.</w:t>
      </w:r>
      <w:bookmarkStart w:id="3" w:name="_Ref431736814"/>
      <w:r w:rsidR="00F85A1C">
        <w:rPr>
          <w:rStyle w:val="FootnoteReference"/>
        </w:rPr>
        <w:footnoteReference w:id="11"/>
      </w:r>
      <w:bookmarkEnd w:id="3"/>
      <w:r w:rsidR="003C36A1">
        <w:t xml:space="preserve"> My fear is that the Yogyakarta Principles, despite their queer historiography, step away from hard-won social constructivism and </w:t>
      </w:r>
      <w:r w:rsidR="003C36A1" w:rsidRPr="009C1663">
        <w:t xml:space="preserve">threaten to uncritically embrace </w:t>
      </w:r>
      <w:r w:rsidR="003C36A1">
        <w:t xml:space="preserve">(bio)logic and </w:t>
      </w:r>
      <w:r w:rsidR="003C36A1" w:rsidRPr="009C1663">
        <w:t>heteronormative family forms</w:t>
      </w:r>
      <w:r w:rsidR="003C36A1">
        <w:t xml:space="preserve"> as normative for everyone.</w:t>
      </w:r>
      <w:r w:rsidR="00B323E6">
        <w:t xml:space="preserve"> They are in need of a queer-feminist coalitional revision.</w:t>
      </w:r>
    </w:p>
    <w:p w:rsidR="00F85A1C" w:rsidRDefault="00B12734">
      <w:r>
        <w:lastRenderedPageBreak/>
        <w:t xml:space="preserve">In the </w:t>
      </w:r>
      <w:r w:rsidR="00534205">
        <w:t xml:space="preserve">fourth and </w:t>
      </w:r>
      <w:r>
        <w:t xml:space="preserve">final section </w:t>
      </w:r>
      <w:r w:rsidR="00FA5EF6">
        <w:t xml:space="preserve">I </w:t>
      </w:r>
      <w:r>
        <w:t>urge</w:t>
      </w:r>
      <w:r w:rsidR="00FA5EF6">
        <w:t xml:space="preserve"> more feminist and queer coalitional work</w:t>
      </w:r>
      <w:r w:rsidR="000055B3">
        <w:t xml:space="preserve"> and the </w:t>
      </w:r>
      <w:r w:rsidR="00F85A1C">
        <w:t xml:space="preserve">adoption </w:t>
      </w:r>
      <w:r w:rsidR="000055B3">
        <w:t xml:space="preserve">of a performative understanding of ‘sex’, in </w:t>
      </w:r>
      <w:r w:rsidR="00FA5EF6">
        <w:t>order to counter</w:t>
      </w:r>
      <w:r w:rsidR="00F85A1C">
        <w:t xml:space="preserve"> the</w:t>
      </w:r>
      <w:r w:rsidR="00FA5EF6">
        <w:t xml:space="preserve"> </w:t>
      </w:r>
      <w:r w:rsidR="00D34CCD">
        <w:t>reinstatement of</w:t>
      </w:r>
      <w:r w:rsidR="00F85A1C">
        <w:t xml:space="preserve"> biology as foundational</w:t>
      </w:r>
      <w:r w:rsidR="00D34CCD">
        <w:t>, which</w:t>
      </w:r>
      <w:r w:rsidR="00F85A1C">
        <w:t xml:space="preserve"> </w:t>
      </w:r>
      <w:r w:rsidR="004573D0">
        <w:t>merely shift</w:t>
      </w:r>
      <w:r w:rsidR="00D34CCD">
        <w:t>s</w:t>
      </w:r>
      <w:r w:rsidR="004573D0">
        <w:t xml:space="preserve"> the boundaries of </w:t>
      </w:r>
      <w:r w:rsidR="00357CC6" w:rsidRPr="009C1663">
        <w:t>acceptable</w:t>
      </w:r>
      <w:r w:rsidR="004573D0">
        <w:t xml:space="preserve"> dualistic</w:t>
      </w:r>
      <w:r w:rsidR="00357CC6" w:rsidRPr="009C1663">
        <w:t xml:space="preserve"> </w:t>
      </w:r>
      <w:r w:rsidR="00BB688B">
        <w:t xml:space="preserve">and heteronormative </w:t>
      </w:r>
      <w:r w:rsidR="00357CC6" w:rsidRPr="009C1663">
        <w:t>ge</w:t>
      </w:r>
      <w:r w:rsidR="004573D0">
        <w:t>nder identities</w:t>
      </w:r>
      <w:r w:rsidR="00F85A1C">
        <w:t xml:space="preserve">, </w:t>
      </w:r>
      <w:r w:rsidR="00010F1A" w:rsidRPr="009C1663">
        <w:t>rather than</w:t>
      </w:r>
      <w:r w:rsidR="00213D84" w:rsidRPr="009C1663">
        <w:t>, following Facebook</w:t>
      </w:r>
      <w:r w:rsidR="00021627" w:rsidRPr="009C1663">
        <w:t>’s example</w:t>
      </w:r>
      <w:r w:rsidR="00213D84" w:rsidRPr="009C1663">
        <w:t>, dispensing with the gender binary</w:t>
      </w:r>
      <w:r w:rsidR="00184C93">
        <w:t xml:space="preserve"> and its biological moorings </w:t>
      </w:r>
      <w:r w:rsidR="00021627" w:rsidRPr="009C1663">
        <w:t>all together</w:t>
      </w:r>
      <w:r w:rsidR="00357CC6" w:rsidRPr="009C1663">
        <w:t xml:space="preserve">. </w:t>
      </w:r>
      <w:r w:rsidR="003C6A4C" w:rsidRPr="009C1663">
        <w:t xml:space="preserve">I </w:t>
      </w:r>
      <w:r w:rsidR="00534205">
        <w:t xml:space="preserve">urge </w:t>
      </w:r>
      <w:r w:rsidR="004573D0" w:rsidRPr="009C1663">
        <w:t>reject</w:t>
      </w:r>
      <w:r w:rsidR="00534205">
        <w:t>ion of</w:t>
      </w:r>
      <w:r w:rsidR="003C6A4C" w:rsidRPr="009C1663">
        <w:t xml:space="preserve"> the idea that </w:t>
      </w:r>
      <w:r w:rsidR="00534205">
        <w:t xml:space="preserve">any </w:t>
      </w:r>
      <w:r w:rsidR="003C6A4C" w:rsidRPr="009C1663">
        <w:t xml:space="preserve">of the categories </w:t>
      </w:r>
      <w:r w:rsidR="00534205">
        <w:t xml:space="preserve">– sex/gender/gender identity - </w:t>
      </w:r>
      <w:r w:rsidR="007F0523">
        <w:t xml:space="preserve">is </w:t>
      </w:r>
      <w:r w:rsidR="003C6A4C" w:rsidRPr="009C1663">
        <w:t>natural and thus immutable</w:t>
      </w:r>
      <w:bookmarkStart w:id="4" w:name="_Ref422940935"/>
      <w:r w:rsidR="00184C93">
        <w:t>.</w:t>
      </w:r>
      <w:r w:rsidR="003C6A4C" w:rsidRPr="009C1663">
        <w:rPr>
          <w:rStyle w:val="FootnoteReference"/>
          <w:rFonts w:cstheme="minorHAnsi"/>
        </w:rPr>
        <w:footnoteReference w:id="12"/>
      </w:r>
      <w:bookmarkEnd w:id="4"/>
      <w:r w:rsidR="003C6A4C" w:rsidRPr="009C1663">
        <w:t xml:space="preserve"> To accept </w:t>
      </w:r>
      <w:r w:rsidR="007F0523">
        <w:t>the idea of a sex-</w:t>
      </w:r>
      <w:r w:rsidR="003C6A4C" w:rsidRPr="009C1663">
        <w:t>gender distinction</w:t>
      </w:r>
      <w:r w:rsidR="007F0523">
        <w:t xml:space="preserve"> that is reflective of a nature-</w:t>
      </w:r>
      <w:r w:rsidR="003C6A4C" w:rsidRPr="009C1663">
        <w:t>nurture divide, as in the official U</w:t>
      </w:r>
      <w:r w:rsidR="001D6B8E">
        <w:t>nited Nations (U</w:t>
      </w:r>
      <w:r w:rsidR="003C6A4C" w:rsidRPr="009C1663">
        <w:t>N</w:t>
      </w:r>
      <w:r w:rsidR="001D6B8E">
        <w:t>)</w:t>
      </w:r>
      <w:r w:rsidR="003C6A4C" w:rsidRPr="009C1663">
        <w:t xml:space="preserve"> definitions, is to limit the manifold creative possibilities for the expression of identity, desire and sexuality </w:t>
      </w:r>
      <w:r w:rsidR="00C36E8C">
        <w:t xml:space="preserve">that would be </w:t>
      </w:r>
      <w:r w:rsidR="003C6A4C" w:rsidRPr="009C1663">
        <w:t>opened up by complete</w:t>
      </w:r>
      <w:r w:rsidR="00AA6BCA" w:rsidRPr="009C1663">
        <w:t>ly releasing the category of sex</w:t>
      </w:r>
      <w:r w:rsidR="003C6A4C" w:rsidRPr="009C1663">
        <w:t xml:space="preserve"> from its biological foundations.</w:t>
      </w:r>
      <w:r w:rsidR="00873F60" w:rsidRPr="00873F60">
        <w:rPr>
          <w:rStyle w:val="FootnoteReference"/>
          <w:rFonts w:cstheme="minorHAnsi"/>
        </w:rPr>
        <w:t xml:space="preserve"> </w:t>
      </w:r>
      <w:r w:rsidR="00534205">
        <w:t>To accept the definition of gender identity offered in the Yogyakarta Principles is to limit these possibilities even further. A</w:t>
      </w:r>
      <w:r w:rsidR="00F37BD7">
        <w:t xml:space="preserve">s </w:t>
      </w:r>
      <w:r w:rsidR="003652F5">
        <w:t xml:space="preserve">Judith </w:t>
      </w:r>
      <w:r w:rsidR="00F37BD7">
        <w:t>Butler has observed, ‘</w:t>
      </w:r>
      <w:r w:rsidR="00425373">
        <w:t>[t]here is no gender identity behind the expressions of gender; that identity is performatively constituted by the very “expressions” that are said to be its result’.</w:t>
      </w:r>
      <w:bookmarkStart w:id="5" w:name="_Ref431740181"/>
      <w:r w:rsidR="00425373">
        <w:rPr>
          <w:rStyle w:val="FootnoteReference"/>
        </w:rPr>
        <w:footnoteReference w:id="13"/>
      </w:r>
      <w:bookmarkEnd w:id="5"/>
      <w:r w:rsidR="006A40DA">
        <w:t xml:space="preserve"> Thus my bracketing of identity in </w:t>
      </w:r>
      <w:r w:rsidR="00B5768B">
        <w:t xml:space="preserve">the </w:t>
      </w:r>
      <w:r w:rsidR="006A40DA">
        <w:t xml:space="preserve">title </w:t>
      </w:r>
      <w:r w:rsidR="002C1C82">
        <w:t xml:space="preserve">of this article </w:t>
      </w:r>
      <w:r w:rsidR="006A40DA">
        <w:t>is not meant to suggest skepticism about the idea of identity</w:t>
      </w:r>
      <w:r w:rsidR="00765F4E">
        <w:t>,</w:t>
      </w:r>
      <w:r w:rsidR="006A40DA">
        <w:t xml:space="preserve"> but to </w:t>
      </w:r>
      <w:r w:rsidR="002C1C82" w:rsidRPr="00CE297E">
        <w:t>indicate that gender</w:t>
      </w:r>
      <w:r w:rsidR="00615F6E" w:rsidRPr="00CE297E">
        <w:t xml:space="preserve"> is already an identity</w:t>
      </w:r>
      <w:r w:rsidR="006A40DA">
        <w:t>.</w:t>
      </w:r>
    </w:p>
    <w:p w:rsidR="00394571" w:rsidRPr="00D04544" w:rsidRDefault="007F0523" w:rsidP="00CE297E">
      <w:pPr>
        <w:pStyle w:val="ListParagraph"/>
        <w:numPr>
          <w:ilvl w:val="0"/>
          <w:numId w:val="21"/>
        </w:numPr>
        <w:rPr>
          <w:b/>
        </w:rPr>
      </w:pPr>
      <w:r w:rsidRPr="00D04544">
        <w:rPr>
          <w:b/>
        </w:rPr>
        <w:t xml:space="preserve">Feminist Work to Denaturalize </w:t>
      </w:r>
      <w:r w:rsidR="00021627" w:rsidRPr="00D04544">
        <w:rPr>
          <w:b/>
        </w:rPr>
        <w:t>Sex</w:t>
      </w:r>
      <w:r w:rsidR="008107EF" w:rsidRPr="00D04544">
        <w:rPr>
          <w:b/>
        </w:rPr>
        <w:t xml:space="preserve"> </w:t>
      </w:r>
    </w:p>
    <w:p w:rsidR="000F6D61" w:rsidRPr="00A53418" w:rsidRDefault="008107EF" w:rsidP="008D62C3">
      <w:r w:rsidRPr="009C1663">
        <w:t>In</w:t>
      </w:r>
      <w:r w:rsidR="00982CF2">
        <w:t xml:space="preserve"> in</w:t>
      </w:r>
      <w:r w:rsidRPr="009C1663">
        <w:t>ternational law</w:t>
      </w:r>
      <w:r w:rsidR="00982CF2">
        <w:t xml:space="preserve">, </w:t>
      </w:r>
      <w:r w:rsidR="007F0523">
        <w:t>sex</w:t>
      </w:r>
      <w:r w:rsidRPr="009C1663">
        <w:t xml:space="preserve"> has traditionally </w:t>
      </w:r>
      <w:r w:rsidR="00982CF2">
        <w:t xml:space="preserve">been </w:t>
      </w:r>
      <w:r w:rsidRPr="009C1663">
        <w:t xml:space="preserve">treated </w:t>
      </w:r>
      <w:r w:rsidR="000F6D61">
        <w:t xml:space="preserve">in a rigidly deterministic fashion </w:t>
      </w:r>
      <w:r w:rsidRPr="009C1663">
        <w:t>as m</w:t>
      </w:r>
      <w:r w:rsidR="007F0523">
        <w:t>ale/female (m</w:t>
      </w:r>
      <w:r w:rsidRPr="009C1663">
        <w:t xml:space="preserve">/f </w:t>
      </w:r>
      <w:r w:rsidR="007F0523">
        <w:t xml:space="preserve">) </w:t>
      </w:r>
      <w:r w:rsidRPr="009C1663">
        <w:t>dichotomy</w:t>
      </w:r>
      <w:r w:rsidR="006C4AAD" w:rsidRPr="009C1663">
        <w:t>,</w:t>
      </w:r>
      <w:r w:rsidRPr="009C1663">
        <w:t xml:space="preserve"> </w:t>
      </w:r>
      <w:r w:rsidR="007F0523">
        <w:t xml:space="preserve">and </w:t>
      </w:r>
      <w:r w:rsidR="007F0523" w:rsidRPr="009C1663">
        <w:t>the privileged status of men vis-à-vis women (m&gt;f)</w:t>
      </w:r>
      <w:r w:rsidR="007F0523">
        <w:t xml:space="preserve"> has been</w:t>
      </w:r>
      <w:r w:rsidR="003652F5">
        <w:t xml:space="preserve"> understood as the natural order</w:t>
      </w:r>
      <w:r w:rsidR="007F0523">
        <w:t>.</w:t>
      </w:r>
      <w:r w:rsidR="007F0523" w:rsidRPr="007F0523">
        <w:rPr>
          <w:rStyle w:val="FootnoteReference"/>
        </w:rPr>
        <w:t xml:space="preserve"> </w:t>
      </w:r>
      <w:bookmarkStart w:id="6" w:name="_Ref422940794"/>
      <w:r w:rsidR="007F0523">
        <w:rPr>
          <w:rStyle w:val="FootnoteReference"/>
        </w:rPr>
        <w:footnoteReference w:id="14"/>
      </w:r>
      <w:bookmarkEnd w:id="6"/>
      <w:r w:rsidR="007F0523">
        <w:t xml:space="preserve">  </w:t>
      </w:r>
      <w:r w:rsidR="00B51B9C">
        <w:t>Congruent with</w:t>
      </w:r>
      <w:r w:rsidR="002B16EA">
        <w:t xml:space="preserve"> medical science, </w:t>
      </w:r>
      <w:r w:rsidR="001C6AAA">
        <w:t xml:space="preserve">customary </w:t>
      </w:r>
      <w:r w:rsidR="002B16EA">
        <w:t xml:space="preserve">practices and religious prescriptions, </w:t>
      </w:r>
      <w:r w:rsidR="002B16EA" w:rsidRPr="00A53418">
        <w:t>t</w:t>
      </w:r>
      <w:r w:rsidR="007F0523" w:rsidRPr="00A53418">
        <w:t xml:space="preserve">his </w:t>
      </w:r>
      <w:r w:rsidR="00D04544">
        <w:t xml:space="preserve">biologically anchored </w:t>
      </w:r>
      <w:r w:rsidR="007F0523" w:rsidRPr="00A53418">
        <w:t xml:space="preserve">dualistic </w:t>
      </w:r>
      <w:r w:rsidR="002B16EA" w:rsidRPr="00A53418">
        <w:t xml:space="preserve">and hierarchical understanding of sex was </w:t>
      </w:r>
      <w:r w:rsidR="003652F5">
        <w:t xml:space="preserve">affirmed </w:t>
      </w:r>
      <w:r w:rsidR="002B16EA" w:rsidRPr="00A53418">
        <w:t>and instantiated by</w:t>
      </w:r>
      <w:r w:rsidR="0065732A" w:rsidRPr="00A53418">
        <w:t xml:space="preserve"> the</w:t>
      </w:r>
      <w:r w:rsidR="002B16EA" w:rsidRPr="00A53418">
        <w:t xml:space="preserve"> law</w:t>
      </w:r>
      <w:r w:rsidR="00D04544">
        <w:t>.</w:t>
      </w:r>
      <w:r w:rsidR="002B16EA" w:rsidRPr="00A53418">
        <w:t xml:space="preserve"> </w:t>
      </w:r>
      <w:r w:rsidR="00D04544">
        <w:rPr>
          <w:rFonts w:cs="Arial"/>
        </w:rPr>
        <w:t>W</w:t>
      </w:r>
      <w:r w:rsidR="0065732A" w:rsidRPr="00A53418">
        <w:rPr>
          <w:rFonts w:cs="Arial"/>
        </w:rPr>
        <w:t xml:space="preserve">omen </w:t>
      </w:r>
      <w:r w:rsidR="00D04544">
        <w:rPr>
          <w:rFonts w:cs="Arial"/>
        </w:rPr>
        <w:t xml:space="preserve">were largely constituted </w:t>
      </w:r>
      <w:r w:rsidR="0065732A" w:rsidRPr="00A53418">
        <w:rPr>
          <w:rFonts w:cs="Arial"/>
        </w:rPr>
        <w:t xml:space="preserve">as family property, making crimes against them, such as military rape or forced prostitution, an abuse of the honour of the family — a violation of the rights of the male </w:t>
      </w:r>
      <w:r w:rsidR="0065732A" w:rsidRPr="00A53418">
        <w:rPr>
          <w:rFonts w:cs="Arial"/>
        </w:rPr>
        <w:lastRenderedPageBreak/>
        <w:t xml:space="preserve">family head — rather than an abuse of </w:t>
      </w:r>
      <w:r w:rsidR="001C6AAA">
        <w:rPr>
          <w:rFonts w:cs="Arial"/>
        </w:rPr>
        <w:t xml:space="preserve">the </w:t>
      </w:r>
      <w:r w:rsidR="0065732A" w:rsidRPr="00A53418">
        <w:rPr>
          <w:rFonts w:cs="Arial"/>
        </w:rPr>
        <w:t>woman’s dignity and autonomy.</w:t>
      </w:r>
      <w:r w:rsidR="0065732A" w:rsidRPr="00A53418">
        <w:rPr>
          <w:rStyle w:val="FootnoteReference"/>
          <w:rFonts w:cs="Arial"/>
        </w:rPr>
        <w:t xml:space="preserve"> </w:t>
      </w:r>
      <w:r w:rsidR="0065732A" w:rsidRPr="00A53418">
        <w:rPr>
          <w:rStyle w:val="FootnoteReference"/>
          <w:rFonts w:cs="Arial"/>
        </w:rPr>
        <w:footnoteReference w:id="15"/>
      </w:r>
      <w:r w:rsidR="0065732A" w:rsidRPr="00A53418">
        <w:rPr>
          <w:rFonts w:cs="Arial"/>
        </w:rPr>
        <w:t xml:space="preserve"> </w:t>
      </w:r>
      <w:r w:rsidR="00B51B9C">
        <w:rPr>
          <w:rFonts w:cs="Arial"/>
        </w:rPr>
        <w:t>To the extent that women were granted a measure of autonomous leg</w:t>
      </w:r>
      <w:r w:rsidR="006827E5">
        <w:rPr>
          <w:rFonts w:cs="Arial"/>
        </w:rPr>
        <w:t>al subjectivity, the law’s approach</w:t>
      </w:r>
      <w:r w:rsidR="00B51B9C">
        <w:rPr>
          <w:rFonts w:cs="Arial"/>
        </w:rPr>
        <w:t xml:space="preserve"> was protective, </w:t>
      </w:r>
      <w:r w:rsidR="00D04544">
        <w:rPr>
          <w:rFonts w:cs="Arial"/>
        </w:rPr>
        <w:t xml:space="preserve">denying </w:t>
      </w:r>
      <w:r w:rsidR="00B51B9C">
        <w:rPr>
          <w:rFonts w:cs="Arial"/>
        </w:rPr>
        <w:t>agency (as in the anti-trafficking conventions) or limit</w:t>
      </w:r>
      <w:r w:rsidR="00D04544">
        <w:rPr>
          <w:rFonts w:cs="Arial"/>
        </w:rPr>
        <w:t>ing</w:t>
      </w:r>
      <w:r w:rsidR="00B51B9C">
        <w:rPr>
          <w:rFonts w:cs="Arial"/>
        </w:rPr>
        <w:t xml:space="preserve"> </w:t>
      </w:r>
      <w:r w:rsidR="006827E5">
        <w:rPr>
          <w:rFonts w:cs="Arial"/>
        </w:rPr>
        <w:t xml:space="preserve">it </w:t>
      </w:r>
      <w:r w:rsidR="00B51B9C">
        <w:rPr>
          <w:rFonts w:cs="Arial"/>
        </w:rPr>
        <w:t>(by promoting restrictive employment</w:t>
      </w:r>
      <w:r w:rsidR="006827E5">
        <w:rPr>
          <w:rFonts w:cs="Arial"/>
        </w:rPr>
        <w:t xml:space="preserve"> practic</w:t>
      </w:r>
      <w:r w:rsidR="00B51B9C">
        <w:rPr>
          <w:rFonts w:cs="Arial"/>
        </w:rPr>
        <w:t>es</w:t>
      </w:r>
      <w:r w:rsidR="006827E5">
        <w:rPr>
          <w:rFonts w:cs="Arial"/>
        </w:rPr>
        <w:t>, for example</w:t>
      </w:r>
      <w:r w:rsidR="00B51B9C">
        <w:rPr>
          <w:rFonts w:cs="Arial"/>
        </w:rPr>
        <w:t>).</w:t>
      </w:r>
    </w:p>
    <w:p w:rsidR="00394571" w:rsidRDefault="006E1812" w:rsidP="00D04544">
      <w:pPr>
        <w:tabs>
          <w:tab w:val="left" w:pos="6834"/>
        </w:tabs>
      </w:pPr>
      <w:r>
        <w:rPr>
          <w:noProof/>
          <w:lang w:val="en-AU" w:eastAsia="en-AU"/>
        </w:rPr>
        <mc:AlternateContent>
          <mc:Choice Requires="wps">
            <w:drawing>
              <wp:anchor distT="0" distB="0" distL="114300" distR="114300" simplePos="0" relativeHeight="251660288" behindDoc="0" locked="0" layoutInCell="1" allowOverlap="1">
                <wp:simplePos x="0" y="0"/>
                <wp:positionH relativeFrom="column">
                  <wp:posOffset>776605</wp:posOffset>
                </wp:positionH>
                <wp:positionV relativeFrom="paragraph">
                  <wp:posOffset>54610</wp:posOffset>
                </wp:positionV>
                <wp:extent cx="3999865" cy="815340"/>
                <wp:effectExtent l="0" t="0" r="19685" b="2349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99865" cy="815340"/>
                        </a:xfrm>
                        <a:prstGeom prst="rect">
                          <a:avLst/>
                        </a:prstGeom>
                        <a:solidFill>
                          <a:srgbClr val="FFFFFF"/>
                        </a:solidFill>
                        <a:ln w="9525">
                          <a:solidFill>
                            <a:srgbClr val="000000"/>
                          </a:solidFill>
                          <a:miter lim="800000"/>
                          <a:headEnd/>
                          <a:tailEnd/>
                        </a:ln>
                      </wps:spPr>
                      <wps:txbx>
                        <w:txbxContent>
                          <w:p w:rsidR="00EC2FCD" w:rsidRPr="00D04544" w:rsidRDefault="00EC2FCD" w:rsidP="00D04544">
                            <w:pPr>
                              <w:spacing w:after="0" w:line="240" w:lineRule="auto"/>
                              <w:jc w:val="center"/>
                              <w:rPr>
                                <w:b/>
                              </w:rPr>
                            </w:pPr>
                            <w:r w:rsidRPr="00D04544">
                              <w:rPr>
                                <w:b/>
                              </w:rPr>
                              <w:t xml:space="preserve">International law’s historical approach to sex/gender: </w:t>
                            </w:r>
                            <w:r w:rsidRPr="00EB79A8">
                              <w:rPr>
                                <w:b/>
                                <w:i/>
                              </w:rPr>
                              <w:t>legitimated by (bio)logic</w:t>
                            </w:r>
                          </w:p>
                          <w:p w:rsidR="00EC2FCD" w:rsidRDefault="00EC2FCD" w:rsidP="00D04544">
                            <w:pPr>
                              <w:spacing w:after="0" w:line="240" w:lineRule="auto"/>
                              <w:jc w:val="center"/>
                            </w:pPr>
                            <w:r w:rsidRPr="008F0892">
                              <w:t>m/f (dualism)</w:t>
                            </w:r>
                            <w:r>
                              <w:t xml:space="preserve"> - nature</w:t>
                            </w:r>
                          </w:p>
                          <w:p w:rsidR="00EC2FCD" w:rsidRDefault="00EC2FCD" w:rsidP="00D04544">
                            <w:pPr>
                              <w:spacing w:after="0" w:line="240" w:lineRule="auto"/>
                              <w:jc w:val="center"/>
                            </w:pPr>
                            <w:r w:rsidRPr="008F0892">
                              <w:t>m&gt;f (hierarchy/asymmetry)</w:t>
                            </w:r>
                            <w:r>
                              <w:t xml:space="preserve"> - nature</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61.15pt;margin-top:4.3pt;width:314.95pt;height:64.2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">
                <v:textbox style="mso-fit-shape-to-text:t">
                  <w:txbxContent>
                    <w:p w:rsidR="00EC2FCD" w:rsidRPr="00D04544" w:rsidRDefault="00EC2FCD" w:rsidP="00D04544">
                      <w:pPr>
                        <w:spacing w:after="0" w:line="240" w:lineRule="auto"/>
                        <w:jc w:val="center"/>
                        <w:rPr>
                          <w:b/>
                        </w:rPr>
                      </w:pPr>
                      <w:r w:rsidRPr="00D04544">
                        <w:rPr>
                          <w:b/>
                        </w:rPr>
                        <w:t xml:space="preserve">International law’s historical approach to sex/gender: </w:t>
                      </w:r>
                      <w:r w:rsidRPr="00EB79A8">
                        <w:rPr>
                          <w:b/>
                          <w:i/>
                        </w:rPr>
                        <w:t>legitimated by (bio)logic</w:t>
                      </w:r>
                    </w:p>
                    <w:p w:rsidR="00EC2FCD" w:rsidRDefault="00EC2FCD" w:rsidP="00D04544">
                      <w:pPr>
                        <w:spacing w:after="0" w:line="240" w:lineRule="auto"/>
                        <w:jc w:val="center"/>
                      </w:pPr>
                      <w:r w:rsidRPr="008F0892">
                        <w:t>m/f (dualism)</w:t>
                      </w:r>
                      <w:r>
                        <w:t xml:space="preserve"> - nature</w:t>
                      </w:r>
                    </w:p>
                    <w:p w:rsidR="00EC2FCD" w:rsidRDefault="00EC2FCD" w:rsidP="00D04544">
                      <w:pPr>
                        <w:spacing w:after="0" w:line="240" w:lineRule="auto"/>
                        <w:jc w:val="center"/>
                      </w:pPr>
                      <w:r w:rsidRPr="008F0892">
                        <w:t>m&gt;f (hierarchy/asymmetry)</w:t>
                      </w:r>
                      <w:r>
                        <w:t xml:space="preserve"> - nature</w:t>
                      </w:r>
                    </w:p>
                  </w:txbxContent>
                </v:textbox>
              </v:shape>
            </w:pict>
          </mc:Fallback>
        </mc:AlternateContent>
      </w:r>
      <w:r w:rsidR="00D3499A">
        <w:tab/>
      </w:r>
    </w:p>
    <w:p w:rsidR="000F6D61" w:rsidRDefault="000F6D61" w:rsidP="008D62C3"/>
    <w:p w:rsidR="00394571" w:rsidRDefault="00394571" w:rsidP="00D04544">
      <w:pPr>
        <w:spacing w:line="240" w:lineRule="auto"/>
      </w:pPr>
    </w:p>
    <w:p w:rsidR="00A53418" w:rsidRDefault="00A53418" w:rsidP="008D62C3">
      <w:r>
        <w:t>Th</w:t>
      </w:r>
      <w:r w:rsidR="001C6AAA">
        <w:t>e belief th</w:t>
      </w:r>
      <w:r>
        <w:t xml:space="preserve">at sex/gender characteristics are </w:t>
      </w:r>
      <w:r w:rsidR="007C1129" w:rsidRPr="009C1663">
        <w:t>biologically determined and therefore immutable</w:t>
      </w:r>
      <w:r w:rsidR="007C1129">
        <w:t xml:space="preserve"> is</w:t>
      </w:r>
      <w:r>
        <w:t xml:space="preserve"> also</w:t>
      </w:r>
      <w:r w:rsidR="007C1129">
        <w:t xml:space="preserve"> reflected in some strands of feminist thought</w:t>
      </w:r>
      <w:r>
        <w:t xml:space="preserve">, which seek to revalue the feminine rather than disrupt dualistic </w:t>
      </w:r>
      <w:r w:rsidR="00783818">
        <w:t xml:space="preserve">conceptions </w:t>
      </w:r>
      <w:r>
        <w:t>of gender</w:t>
      </w:r>
      <w:r w:rsidR="007C1129">
        <w:t>.</w:t>
      </w:r>
      <w:r w:rsidR="007C1129">
        <w:rPr>
          <w:rStyle w:val="FootnoteReference"/>
        </w:rPr>
        <w:footnoteReference w:id="16"/>
      </w:r>
      <w:r w:rsidR="007C1129">
        <w:t xml:space="preserve"> </w:t>
      </w:r>
    </w:p>
    <w:p w:rsidR="00194E00" w:rsidRPr="001B50C3" w:rsidRDefault="00F50329" w:rsidP="008D62C3">
      <w:pPr>
        <w:rPr>
          <w:bCs/>
        </w:rPr>
      </w:pPr>
      <w:r>
        <w:t>Yet</w:t>
      </w:r>
      <w:r w:rsidR="00A53418" w:rsidRPr="001B50C3">
        <w:t xml:space="preserve"> while the advent of </w:t>
      </w:r>
      <w:r w:rsidR="008107EF" w:rsidRPr="001B50C3">
        <w:t xml:space="preserve">universal human rights law in 1945, with its </w:t>
      </w:r>
      <w:r w:rsidR="00A53418" w:rsidRPr="001B50C3">
        <w:t xml:space="preserve">core </w:t>
      </w:r>
      <w:r w:rsidR="008107EF" w:rsidRPr="001B50C3">
        <w:t>principles of equality and non-discrimination, made it possible to challenge the assumed hierarchy of gender</w:t>
      </w:r>
      <w:r w:rsidR="00AA6BCA" w:rsidRPr="001B50C3">
        <w:t xml:space="preserve"> (m&gt;f)</w:t>
      </w:r>
      <w:r w:rsidR="008107EF" w:rsidRPr="001B50C3">
        <w:t xml:space="preserve">, the understanding of </w:t>
      </w:r>
      <w:r w:rsidR="00C2067F">
        <w:t>sex/</w:t>
      </w:r>
      <w:r w:rsidR="008107EF" w:rsidRPr="001B50C3">
        <w:t xml:space="preserve">gender as dualistic </w:t>
      </w:r>
      <w:r w:rsidR="00D04544">
        <w:t xml:space="preserve">(m/f) </w:t>
      </w:r>
      <w:r w:rsidR="008107EF" w:rsidRPr="001B50C3">
        <w:t>remained unquestioned.</w:t>
      </w:r>
      <w:r w:rsidR="00A53418" w:rsidRPr="001B50C3">
        <w:rPr>
          <w:rStyle w:val="FootnoteReference"/>
        </w:rPr>
        <w:footnoteReference w:id="17"/>
      </w:r>
      <w:r w:rsidR="00246C56" w:rsidRPr="001B50C3">
        <w:t xml:space="preserve"> The adoption of the </w:t>
      </w:r>
      <w:r w:rsidR="00246C56" w:rsidRPr="001B50C3">
        <w:rPr>
          <w:i/>
        </w:rPr>
        <w:t>Convention on the Elimination of All Forms of Discrimination Against Women</w:t>
      </w:r>
      <w:r w:rsidR="00246C56" w:rsidRPr="001B50C3">
        <w:t xml:space="preserve"> (CEDAW) in 1979,</w:t>
      </w:r>
      <w:bookmarkStart w:id="7" w:name="_Ref298422954"/>
      <w:r w:rsidR="00246C56" w:rsidRPr="001B50C3">
        <w:rPr>
          <w:rStyle w:val="FootnoteReference"/>
          <w:rFonts w:cstheme="minorHAnsi"/>
        </w:rPr>
        <w:footnoteReference w:id="18"/>
      </w:r>
      <w:bookmarkEnd w:id="7"/>
      <w:r w:rsidR="006C4AAD" w:rsidRPr="001B50C3">
        <w:t xml:space="preserve"> did </w:t>
      </w:r>
      <w:r w:rsidR="007C1129" w:rsidRPr="001B50C3">
        <w:t xml:space="preserve">little </w:t>
      </w:r>
      <w:r w:rsidR="006C4AAD" w:rsidRPr="001B50C3">
        <w:t>to chang</w:t>
      </w:r>
      <w:r w:rsidR="00246C56" w:rsidRPr="001B50C3">
        <w:t xml:space="preserve">e this state of affairs. As </w:t>
      </w:r>
      <w:r w:rsidR="000203B8" w:rsidRPr="001B50C3">
        <w:t xml:space="preserve">indicated by </w:t>
      </w:r>
      <w:r w:rsidR="00246C56" w:rsidRPr="001B50C3">
        <w:t xml:space="preserve">its </w:t>
      </w:r>
      <w:r w:rsidR="000203B8" w:rsidRPr="001B50C3">
        <w:t>appellation</w:t>
      </w:r>
      <w:r w:rsidR="00246C56" w:rsidRPr="001B50C3">
        <w:t>, CEDAW</w:t>
      </w:r>
      <w:r w:rsidR="002211CE" w:rsidRPr="001B50C3">
        <w:t xml:space="preserve"> </w:t>
      </w:r>
      <w:r w:rsidR="00D96331">
        <w:t>takes an asymmetrical approach by</w:t>
      </w:r>
      <w:r w:rsidR="002211CE" w:rsidRPr="001B50C3">
        <w:t xml:space="preserve"> prohibiting sex</w:t>
      </w:r>
      <w:r w:rsidR="00246C56" w:rsidRPr="001B50C3">
        <w:t xml:space="preserve"> discrimination suffered by </w:t>
      </w:r>
      <w:r w:rsidR="00D04544">
        <w:t>only one</w:t>
      </w:r>
      <w:r w:rsidR="00246C56" w:rsidRPr="001B50C3">
        <w:t xml:space="preserve"> </w:t>
      </w:r>
      <w:r w:rsidR="00D04544">
        <w:t xml:space="preserve">gender </w:t>
      </w:r>
      <w:r w:rsidR="00246C56" w:rsidRPr="001B50C3">
        <w:t>group (women).</w:t>
      </w:r>
      <w:r w:rsidR="00783818">
        <w:rPr>
          <w:rStyle w:val="FootnoteReference"/>
        </w:rPr>
        <w:footnoteReference w:id="19"/>
      </w:r>
      <w:r w:rsidR="00246C56" w:rsidRPr="001B50C3">
        <w:t xml:space="preserve"> </w:t>
      </w:r>
      <w:r w:rsidR="006C4AAD" w:rsidRPr="001B50C3">
        <w:t xml:space="preserve">Men are the only other gender </w:t>
      </w:r>
      <w:r w:rsidR="00D04544">
        <w:t>[</w:t>
      </w:r>
      <w:r w:rsidR="006C4AAD" w:rsidRPr="001B50C3">
        <w:t>identity</w:t>
      </w:r>
      <w:r w:rsidR="00D04544">
        <w:t>]</w:t>
      </w:r>
      <w:r w:rsidR="006C4AAD" w:rsidRPr="001B50C3">
        <w:t xml:space="preserve"> </w:t>
      </w:r>
      <w:r w:rsidR="00C2067F">
        <w:t xml:space="preserve">recognized </w:t>
      </w:r>
      <w:r w:rsidR="002E0FBB" w:rsidRPr="001B50C3">
        <w:t>in CEDAW</w:t>
      </w:r>
      <w:r w:rsidR="00246C56" w:rsidRPr="001B50C3">
        <w:rPr>
          <w:bCs/>
        </w:rPr>
        <w:t xml:space="preserve">, </w:t>
      </w:r>
      <w:r w:rsidR="006C4AAD" w:rsidRPr="001B50C3">
        <w:rPr>
          <w:bCs/>
        </w:rPr>
        <w:t xml:space="preserve">and they </w:t>
      </w:r>
      <w:r w:rsidR="007C1129" w:rsidRPr="001B50C3">
        <w:rPr>
          <w:bCs/>
        </w:rPr>
        <w:t xml:space="preserve">primarily </w:t>
      </w:r>
      <w:r w:rsidR="006C4AAD" w:rsidRPr="001B50C3">
        <w:rPr>
          <w:bCs/>
        </w:rPr>
        <w:t xml:space="preserve">serve </w:t>
      </w:r>
      <w:r w:rsidR="00246C56" w:rsidRPr="001B50C3">
        <w:rPr>
          <w:bCs/>
        </w:rPr>
        <w:t>as the comparator against which women’s (in</w:t>
      </w:r>
      <w:r w:rsidR="007C1129" w:rsidRPr="001B50C3">
        <w:rPr>
          <w:bCs/>
        </w:rPr>
        <w:t>)equality is to be measured. P</w:t>
      </w:r>
      <w:r w:rsidR="00021627" w:rsidRPr="001B50C3">
        <w:rPr>
          <w:bCs/>
        </w:rPr>
        <w:t>aradoxically</w:t>
      </w:r>
      <w:r w:rsidR="007C1129" w:rsidRPr="001B50C3">
        <w:rPr>
          <w:bCs/>
        </w:rPr>
        <w:t xml:space="preserve"> this arrangement</w:t>
      </w:r>
      <w:r w:rsidR="002211CE" w:rsidRPr="001B50C3">
        <w:rPr>
          <w:bCs/>
        </w:rPr>
        <w:t>,</w:t>
      </w:r>
      <w:r w:rsidR="00021627" w:rsidRPr="001B50C3">
        <w:rPr>
          <w:bCs/>
        </w:rPr>
        <w:t xml:space="preserve"> </w:t>
      </w:r>
      <w:r w:rsidR="000203B8" w:rsidRPr="001B50C3">
        <w:rPr>
          <w:bCs/>
        </w:rPr>
        <w:t>whereby men’s experience sets the universal standard</w:t>
      </w:r>
      <w:r w:rsidR="00C2067F">
        <w:rPr>
          <w:bCs/>
        </w:rPr>
        <w:t xml:space="preserve"> for everyone</w:t>
      </w:r>
      <w:r w:rsidR="002211CE" w:rsidRPr="001B50C3">
        <w:rPr>
          <w:bCs/>
        </w:rPr>
        <w:t>,</w:t>
      </w:r>
      <w:r w:rsidR="000203B8" w:rsidRPr="001B50C3">
        <w:rPr>
          <w:bCs/>
        </w:rPr>
        <w:t xml:space="preserve"> </w:t>
      </w:r>
      <w:r w:rsidR="006C4AAD" w:rsidRPr="001B50C3">
        <w:rPr>
          <w:bCs/>
        </w:rPr>
        <w:t>reaffirms the tradition of both gender duality and hierarchy</w:t>
      </w:r>
      <w:r w:rsidR="00021627" w:rsidRPr="001B50C3">
        <w:rPr>
          <w:bCs/>
        </w:rPr>
        <w:t xml:space="preserve"> in an instrument that seeks to promote women’s</w:t>
      </w:r>
      <w:r w:rsidR="00C2067F">
        <w:rPr>
          <w:bCs/>
        </w:rPr>
        <w:t xml:space="preserve"> full humanity</w:t>
      </w:r>
      <w:r w:rsidR="000203B8" w:rsidRPr="001B50C3">
        <w:rPr>
          <w:bCs/>
        </w:rPr>
        <w:t xml:space="preserve">. As a result, </w:t>
      </w:r>
      <w:r w:rsidR="00021627" w:rsidRPr="001B50C3">
        <w:rPr>
          <w:bCs/>
        </w:rPr>
        <w:t xml:space="preserve">protective </w:t>
      </w:r>
      <w:r w:rsidR="004044D2" w:rsidRPr="001B50C3">
        <w:rPr>
          <w:bCs/>
        </w:rPr>
        <w:t xml:space="preserve">responses </w:t>
      </w:r>
      <w:r w:rsidR="00021627" w:rsidRPr="001B50C3">
        <w:rPr>
          <w:bCs/>
        </w:rPr>
        <w:t>to women’</w:t>
      </w:r>
      <w:r w:rsidR="00194E00" w:rsidRPr="001B50C3">
        <w:rPr>
          <w:bCs/>
        </w:rPr>
        <w:t>s disadvan</w:t>
      </w:r>
      <w:r w:rsidR="00021627" w:rsidRPr="001B50C3">
        <w:rPr>
          <w:bCs/>
        </w:rPr>
        <w:t>tage</w:t>
      </w:r>
      <w:r w:rsidR="000203B8" w:rsidRPr="001B50C3">
        <w:rPr>
          <w:bCs/>
        </w:rPr>
        <w:t xml:space="preserve"> have </w:t>
      </w:r>
      <w:r w:rsidR="00177D0B">
        <w:rPr>
          <w:bCs/>
        </w:rPr>
        <w:t xml:space="preserve">continued to </w:t>
      </w:r>
      <w:r w:rsidR="003652F5">
        <w:rPr>
          <w:bCs/>
        </w:rPr>
        <w:lastRenderedPageBreak/>
        <w:t xml:space="preserve">proliferate </w:t>
      </w:r>
      <w:r w:rsidR="000203B8" w:rsidRPr="001B50C3">
        <w:rPr>
          <w:bCs/>
        </w:rPr>
        <w:t>where women’s experience is not directly comparable with men’s</w:t>
      </w:r>
      <w:r w:rsidR="00D96331">
        <w:rPr>
          <w:bCs/>
        </w:rPr>
        <w:t>,</w:t>
      </w:r>
      <w:r w:rsidR="000203B8" w:rsidRPr="001B50C3">
        <w:rPr>
          <w:bCs/>
        </w:rPr>
        <w:t xml:space="preserve"> </w:t>
      </w:r>
      <w:r w:rsidR="00D96331">
        <w:rPr>
          <w:spacing w:val="-1"/>
        </w:rPr>
        <w:t xml:space="preserve">with extra intensity in relation to </w:t>
      </w:r>
      <w:r w:rsidR="00D96331" w:rsidRPr="001B50C3">
        <w:rPr>
          <w:spacing w:val="-1"/>
        </w:rPr>
        <w:t>women from the global South</w:t>
      </w:r>
      <w:r w:rsidR="00D96331">
        <w:rPr>
          <w:spacing w:val="-1"/>
        </w:rPr>
        <w:t>,</w:t>
      </w:r>
      <w:r w:rsidR="00D96331" w:rsidRPr="001B50C3">
        <w:rPr>
          <w:vertAlign w:val="superscript"/>
        </w:rPr>
        <w:footnoteReference w:id="20"/>
      </w:r>
      <w:r w:rsidR="00D96331">
        <w:rPr>
          <w:spacing w:val="-1"/>
        </w:rPr>
        <w:t xml:space="preserve"> </w:t>
      </w:r>
      <w:r w:rsidR="000203B8" w:rsidRPr="001B50C3">
        <w:rPr>
          <w:bCs/>
        </w:rPr>
        <w:t>– notably in the fields of reproductive health and employment</w:t>
      </w:r>
      <w:r w:rsidR="00E26E27">
        <w:rPr>
          <w:bCs/>
        </w:rPr>
        <w:t xml:space="preserve"> </w:t>
      </w:r>
      <w:r w:rsidR="001B50C3" w:rsidRPr="001B50C3">
        <w:rPr>
          <w:spacing w:val="-1"/>
        </w:rPr>
        <w:t xml:space="preserve">- </w:t>
      </w:r>
      <w:r w:rsidR="000203B8" w:rsidRPr="001B50C3">
        <w:rPr>
          <w:bCs/>
        </w:rPr>
        <w:t xml:space="preserve">which </w:t>
      </w:r>
      <w:r w:rsidR="00194E00" w:rsidRPr="001B50C3">
        <w:rPr>
          <w:bCs/>
        </w:rPr>
        <w:t>re-entrench</w:t>
      </w:r>
      <w:r w:rsidR="00D04544">
        <w:rPr>
          <w:bCs/>
        </w:rPr>
        <w:t>es</w:t>
      </w:r>
      <w:r w:rsidR="000203B8" w:rsidRPr="001B50C3">
        <w:rPr>
          <w:bCs/>
        </w:rPr>
        <w:t xml:space="preserve"> women’s</w:t>
      </w:r>
      <w:r w:rsidR="007C1129" w:rsidRPr="001B50C3">
        <w:rPr>
          <w:bCs/>
        </w:rPr>
        <w:t xml:space="preserve"> </w:t>
      </w:r>
      <w:r w:rsidR="00194E00" w:rsidRPr="001B50C3">
        <w:rPr>
          <w:bCs/>
        </w:rPr>
        <w:t>inequality</w:t>
      </w:r>
      <w:r w:rsidR="002E0FBB" w:rsidRPr="001B50C3">
        <w:rPr>
          <w:bCs/>
        </w:rPr>
        <w:t>,</w:t>
      </w:r>
      <w:r w:rsidR="00194E00" w:rsidRPr="001B50C3">
        <w:rPr>
          <w:bCs/>
        </w:rPr>
        <w:t xml:space="preserve"> </w:t>
      </w:r>
      <w:r w:rsidR="00021627" w:rsidRPr="001B50C3">
        <w:rPr>
          <w:bCs/>
        </w:rPr>
        <w:t xml:space="preserve">rather </w:t>
      </w:r>
      <w:r w:rsidR="00C2067F">
        <w:rPr>
          <w:bCs/>
        </w:rPr>
        <w:t xml:space="preserve">than </w:t>
      </w:r>
      <w:r w:rsidR="000203B8" w:rsidRPr="001B50C3">
        <w:rPr>
          <w:bCs/>
        </w:rPr>
        <w:t>fundamentally challenging</w:t>
      </w:r>
      <w:r w:rsidR="00AA6BCA" w:rsidRPr="001B50C3">
        <w:rPr>
          <w:bCs/>
        </w:rPr>
        <w:t xml:space="preserve"> it</w:t>
      </w:r>
      <w:r w:rsidR="001B50C3">
        <w:rPr>
          <w:bCs/>
        </w:rPr>
        <w:t xml:space="preserve">. </w:t>
      </w:r>
      <w:r w:rsidR="008625AB">
        <w:rPr>
          <w:bCs/>
        </w:rPr>
        <w:t xml:space="preserve">On this reading of CEDAW, </w:t>
      </w:r>
      <w:r w:rsidR="00177D0B">
        <w:rPr>
          <w:bCs/>
        </w:rPr>
        <w:t xml:space="preserve">as </w:t>
      </w:r>
      <w:r w:rsidR="00A4146A">
        <w:rPr>
          <w:bCs/>
        </w:rPr>
        <w:t xml:space="preserve">founded on </w:t>
      </w:r>
      <w:r w:rsidR="00177D0B">
        <w:rPr>
          <w:bCs/>
        </w:rPr>
        <w:t xml:space="preserve">the biological m/f binary, </w:t>
      </w:r>
      <w:r w:rsidR="000C47EA">
        <w:rPr>
          <w:bCs/>
        </w:rPr>
        <w:t xml:space="preserve">it is doubtful </w:t>
      </w:r>
      <w:r w:rsidR="00177D0B">
        <w:rPr>
          <w:bCs/>
        </w:rPr>
        <w:t xml:space="preserve">whether </w:t>
      </w:r>
      <w:r w:rsidR="000C47EA">
        <w:rPr>
          <w:bCs/>
        </w:rPr>
        <w:t xml:space="preserve">a transgendered </w:t>
      </w:r>
      <w:r w:rsidR="00177D0B">
        <w:rPr>
          <w:bCs/>
        </w:rPr>
        <w:t>(m-f) woma</w:t>
      </w:r>
      <w:r w:rsidR="000C47EA">
        <w:rPr>
          <w:bCs/>
        </w:rPr>
        <w:t xml:space="preserve">n </w:t>
      </w:r>
      <w:r w:rsidR="00177D0B">
        <w:rPr>
          <w:bCs/>
        </w:rPr>
        <w:t xml:space="preserve">would qualify as a ‘woman’ who can therefore be a victim of ‘sex’ discrimination. </w:t>
      </w:r>
      <w:r w:rsidR="00AB6B0B">
        <w:rPr>
          <w:bCs/>
        </w:rPr>
        <w:t>The dualistic framework of CEDAW makes it likely that t</w:t>
      </w:r>
      <w:r w:rsidR="00D00975">
        <w:rPr>
          <w:bCs/>
        </w:rPr>
        <w:t>he CEDAW Committee</w:t>
      </w:r>
      <w:r w:rsidR="00AB6B0B">
        <w:rPr>
          <w:bCs/>
        </w:rPr>
        <w:t xml:space="preserve"> might eventually</w:t>
      </w:r>
      <w:r w:rsidR="00D00975">
        <w:rPr>
          <w:bCs/>
        </w:rPr>
        <w:t xml:space="preserve"> follow recent reforms in some domestic legal systems</w:t>
      </w:r>
      <w:r w:rsidR="00AB6B0B">
        <w:rPr>
          <w:bCs/>
        </w:rPr>
        <w:t xml:space="preserve"> and </w:t>
      </w:r>
      <w:r w:rsidR="00D00975">
        <w:rPr>
          <w:bCs/>
        </w:rPr>
        <w:t>predicate recognition on invasive sex reassignment surge</w:t>
      </w:r>
      <w:r w:rsidR="00AB6B0B">
        <w:rPr>
          <w:bCs/>
        </w:rPr>
        <w:t>ries,</w:t>
      </w:r>
      <w:r w:rsidR="00AB6B0B" w:rsidRPr="00AB6B0B">
        <w:rPr>
          <w:rStyle w:val="FootnoteReference"/>
          <w:bCs/>
        </w:rPr>
        <w:t xml:space="preserve"> </w:t>
      </w:r>
      <w:r w:rsidR="00AB6B0B">
        <w:rPr>
          <w:rStyle w:val="FootnoteReference"/>
          <w:bCs/>
        </w:rPr>
        <w:footnoteReference w:id="21"/>
      </w:r>
      <w:r w:rsidR="00AB6B0B">
        <w:rPr>
          <w:bCs/>
        </w:rPr>
        <w:t xml:space="preserve"> which would still keep the m/f</w:t>
      </w:r>
      <w:r w:rsidR="00AB6B0B" w:rsidRPr="00AB6B0B">
        <w:rPr>
          <w:bCs/>
        </w:rPr>
        <w:t xml:space="preserve"> </w:t>
      </w:r>
      <w:r w:rsidR="00AB6B0B">
        <w:rPr>
          <w:bCs/>
        </w:rPr>
        <w:t>binary intact</w:t>
      </w:r>
      <w:r w:rsidR="00A4146A">
        <w:rPr>
          <w:bCs/>
        </w:rPr>
        <w:t>. Clearly</w:t>
      </w:r>
      <w:r w:rsidR="000C47EA">
        <w:rPr>
          <w:bCs/>
        </w:rPr>
        <w:t xml:space="preserve"> </w:t>
      </w:r>
      <w:r w:rsidR="00194E00" w:rsidRPr="001B50C3">
        <w:rPr>
          <w:bCs/>
        </w:rPr>
        <w:t>o</w:t>
      </w:r>
      <w:r w:rsidR="00246C56" w:rsidRPr="001B50C3">
        <w:rPr>
          <w:bCs/>
        </w:rPr>
        <w:t xml:space="preserve">ther </w:t>
      </w:r>
      <w:r w:rsidR="006C4AAD" w:rsidRPr="001B50C3">
        <w:rPr>
          <w:bCs/>
        </w:rPr>
        <w:t xml:space="preserve">instances </w:t>
      </w:r>
      <w:r w:rsidR="00246C56" w:rsidRPr="001B50C3">
        <w:rPr>
          <w:bCs/>
        </w:rPr>
        <w:t xml:space="preserve">of </w:t>
      </w:r>
      <w:r w:rsidR="006C4AAD" w:rsidRPr="001B50C3">
        <w:rPr>
          <w:bCs/>
        </w:rPr>
        <w:t xml:space="preserve">sex </w:t>
      </w:r>
      <w:r w:rsidR="00246C56" w:rsidRPr="001B50C3">
        <w:rPr>
          <w:bCs/>
        </w:rPr>
        <w:t>discrimination</w:t>
      </w:r>
      <w:r w:rsidR="006C4AAD" w:rsidRPr="001B50C3">
        <w:rPr>
          <w:bCs/>
        </w:rPr>
        <w:t xml:space="preserve"> - </w:t>
      </w:r>
      <w:r w:rsidR="00246C56" w:rsidRPr="001B50C3">
        <w:rPr>
          <w:bCs/>
        </w:rPr>
        <w:t xml:space="preserve">experienced by men </w:t>
      </w:r>
      <w:r w:rsidR="006C4AAD" w:rsidRPr="001B50C3">
        <w:rPr>
          <w:bCs/>
        </w:rPr>
        <w:t xml:space="preserve">and </w:t>
      </w:r>
      <w:r w:rsidR="00754535" w:rsidRPr="001B50C3">
        <w:rPr>
          <w:bCs/>
        </w:rPr>
        <w:t xml:space="preserve">those </w:t>
      </w:r>
      <w:r w:rsidR="006C4AAD" w:rsidRPr="001B50C3">
        <w:t xml:space="preserve">whose </w:t>
      </w:r>
      <w:r w:rsidR="00A4146A">
        <w:t>sex/</w:t>
      </w:r>
      <w:r w:rsidR="006C4AAD" w:rsidRPr="001B50C3">
        <w:t>gender expressio</w:t>
      </w:r>
      <w:r w:rsidR="000203B8" w:rsidRPr="001B50C3">
        <w:t xml:space="preserve">ns and identities </w:t>
      </w:r>
      <w:r w:rsidR="00A4146A">
        <w:t xml:space="preserve">do not </w:t>
      </w:r>
      <w:r w:rsidR="004E66B7">
        <w:t xml:space="preserve">even claim to </w:t>
      </w:r>
      <w:r w:rsidR="00A4146A">
        <w:t>fit neatly into the</w:t>
      </w:r>
      <w:r w:rsidR="006C4AAD" w:rsidRPr="001B50C3">
        <w:t xml:space="preserve"> </w:t>
      </w:r>
      <w:r w:rsidR="00A4146A">
        <w:t xml:space="preserve">m/f </w:t>
      </w:r>
      <w:r w:rsidR="006C4AAD" w:rsidRPr="001B50C3">
        <w:t>binar</w:t>
      </w:r>
      <w:r w:rsidR="00A4146A">
        <w:t>y</w:t>
      </w:r>
      <w:r w:rsidR="006C4AAD" w:rsidRPr="001B50C3">
        <w:rPr>
          <w:bCs/>
        </w:rPr>
        <w:t xml:space="preserve"> - </w:t>
      </w:r>
      <w:r w:rsidR="00246C56" w:rsidRPr="001B50C3">
        <w:rPr>
          <w:bCs/>
        </w:rPr>
        <w:t xml:space="preserve">remain </w:t>
      </w:r>
      <w:r w:rsidR="00632FDB" w:rsidRPr="001B50C3">
        <w:rPr>
          <w:bCs/>
        </w:rPr>
        <w:t xml:space="preserve">outside </w:t>
      </w:r>
      <w:r w:rsidR="007D0278">
        <w:rPr>
          <w:bCs/>
        </w:rPr>
        <w:t>CEDAW’s</w:t>
      </w:r>
      <w:r w:rsidR="008625AB">
        <w:rPr>
          <w:bCs/>
        </w:rPr>
        <w:t xml:space="preserve"> </w:t>
      </w:r>
      <w:r w:rsidR="00E35EC8" w:rsidRPr="001B50C3">
        <w:rPr>
          <w:bCs/>
        </w:rPr>
        <w:t>register of gender harms</w:t>
      </w:r>
      <w:r w:rsidR="00246C56" w:rsidRPr="001B50C3">
        <w:rPr>
          <w:bCs/>
        </w:rPr>
        <w:t>.</w:t>
      </w:r>
      <w:r w:rsidR="000C47EA">
        <w:rPr>
          <w:bCs/>
        </w:rPr>
        <w:t xml:space="preserve"> </w:t>
      </w:r>
    </w:p>
    <w:p w:rsidR="006E7834" w:rsidRDefault="002211CE" w:rsidP="008D62C3">
      <w:pPr>
        <w:rPr>
          <w:lang w:val="en-CA"/>
        </w:rPr>
      </w:pPr>
      <w:r>
        <w:t>Yet</w:t>
      </w:r>
      <w:r w:rsidR="007A43AB">
        <w:t>,</w:t>
      </w:r>
      <w:r>
        <w:t xml:space="preserve"> </w:t>
      </w:r>
      <w:r w:rsidR="007A43AB">
        <w:t xml:space="preserve">on closer reading, it </w:t>
      </w:r>
      <w:r w:rsidR="00A4146A">
        <w:t xml:space="preserve">is </w:t>
      </w:r>
      <w:r w:rsidR="007A43AB">
        <w:t xml:space="preserve">apparent that </w:t>
      </w:r>
      <w:r w:rsidR="006C4AAD" w:rsidRPr="009C1663">
        <w:t>CEDAW</w:t>
      </w:r>
      <w:r w:rsidR="00A4146A">
        <w:t>’s</w:t>
      </w:r>
      <w:r w:rsidR="007A43AB">
        <w:t xml:space="preserve"> </w:t>
      </w:r>
      <w:r w:rsidR="00A4146A">
        <w:t xml:space="preserve">treatment of </w:t>
      </w:r>
      <w:r>
        <w:t xml:space="preserve">sex </w:t>
      </w:r>
      <w:r w:rsidR="00A4146A">
        <w:t>is not entirely as a natural category</w:t>
      </w:r>
      <w:r w:rsidR="004E66B7">
        <w:t xml:space="preserve">. </w:t>
      </w:r>
      <w:r w:rsidR="00D96331">
        <w:t>It is also recognized t</w:t>
      </w:r>
      <w:r w:rsidR="004E66B7">
        <w:t xml:space="preserve">hat sex has </w:t>
      </w:r>
      <w:r>
        <w:t>social dimensions</w:t>
      </w:r>
      <w:r w:rsidR="004E66B7">
        <w:t>,</w:t>
      </w:r>
      <w:r>
        <w:t xml:space="preserve"> which must be challenged and changed if </w:t>
      </w:r>
      <w:r w:rsidR="00577439">
        <w:t xml:space="preserve">women’s </w:t>
      </w:r>
      <w:r>
        <w:t>equality</w:t>
      </w:r>
      <w:r w:rsidR="00577439">
        <w:t xml:space="preserve"> </w:t>
      </w:r>
      <w:r>
        <w:t>is ever to be realized</w:t>
      </w:r>
      <w:r w:rsidR="006E7834">
        <w:t xml:space="preserve">. This recognition </w:t>
      </w:r>
      <w:r w:rsidR="008625AB">
        <w:t xml:space="preserve">creates </w:t>
      </w:r>
      <w:r w:rsidR="00EB79A8" w:rsidRPr="00EB79A8">
        <w:t>a foothold</w:t>
      </w:r>
      <w:r w:rsidR="006E7834">
        <w:t xml:space="preserve"> for </w:t>
      </w:r>
      <w:r w:rsidR="00CD47D6">
        <w:t xml:space="preserve">interpretations of CEDAW that refuse </w:t>
      </w:r>
      <w:r>
        <w:t>the binary assumption of gender</w:t>
      </w:r>
      <w:r w:rsidR="000C47EA">
        <w:t xml:space="preserve"> and its attendant </w:t>
      </w:r>
      <w:r w:rsidR="00146785">
        <w:t>(</w:t>
      </w:r>
      <w:r w:rsidR="000C47EA">
        <w:t>bio</w:t>
      </w:r>
      <w:r w:rsidR="00146785">
        <w:t>)</w:t>
      </w:r>
      <w:r w:rsidR="000C47EA">
        <w:t>logic</w:t>
      </w:r>
      <w:r>
        <w:t xml:space="preserve">. </w:t>
      </w:r>
      <w:r w:rsidR="006C4AAD" w:rsidRPr="009C1663">
        <w:t xml:space="preserve"> </w:t>
      </w:r>
      <w:r w:rsidR="003C6A4C" w:rsidRPr="009C1663">
        <w:rPr>
          <w:lang w:val="en-CA"/>
        </w:rPr>
        <w:t xml:space="preserve">The </w:t>
      </w:r>
      <w:r w:rsidR="00CD5A45">
        <w:rPr>
          <w:lang w:val="en-CA"/>
        </w:rPr>
        <w:t xml:space="preserve">starting point lies </w:t>
      </w:r>
      <w:r w:rsidR="006E7834">
        <w:rPr>
          <w:lang w:val="en-CA"/>
        </w:rPr>
        <w:t xml:space="preserve">in the </w:t>
      </w:r>
      <w:r w:rsidR="003C6A4C" w:rsidRPr="009C1663">
        <w:rPr>
          <w:lang w:val="en-CA"/>
        </w:rPr>
        <w:t>preamb</w:t>
      </w:r>
      <w:r w:rsidR="000C47EA">
        <w:rPr>
          <w:lang w:val="en-CA"/>
        </w:rPr>
        <w:t>ular</w:t>
      </w:r>
      <w:r w:rsidR="003C6A4C" w:rsidRPr="009C1663">
        <w:rPr>
          <w:lang w:val="en-CA"/>
        </w:rPr>
        <w:t xml:space="preserve"> </w:t>
      </w:r>
      <w:r w:rsidR="006E7834">
        <w:rPr>
          <w:lang w:val="en-CA"/>
        </w:rPr>
        <w:t>recognition</w:t>
      </w:r>
      <w:r w:rsidR="003C6A4C" w:rsidRPr="009C1663">
        <w:rPr>
          <w:lang w:val="en-CA"/>
        </w:rPr>
        <w:t xml:space="preserve"> ‘that a change in the traditional role of men as well as the role of women in society and in the family is needed to achieve full equality between men and women’</w:t>
      </w:r>
      <w:r w:rsidR="00577439">
        <w:rPr>
          <w:lang w:val="en-CA"/>
        </w:rPr>
        <w:t>,</w:t>
      </w:r>
      <w:r w:rsidR="003C6A4C" w:rsidRPr="009C1663">
        <w:rPr>
          <w:rStyle w:val="FootnoteReference"/>
          <w:rFonts w:cstheme="minorHAnsi"/>
          <w:lang w:val="en-CA"/>
        </w:rPr>
        <w:footnoteReference w:id="22"/>
      </w:r>
      <w:r w:rsidR="003C6A4C" w:rsidRPr="009C1663">
        <w:rPr>
          <w:lang w:val="en-CA"/>
        </w:rPr>
        <w:t xml:space="preserve"> </w:t>
      </w:r>
      <w:r w:rsidR="002A78DE">
        <w:rPr>
          <w:lang w:val="en-CA"/>
        </w:rPr>
        <w:t>which</w:t>
      </w:r>
      <w:r w:rsidR="00CD5A45">
        <w:rPr>
          <w:lang w:val="en-CA"/>
        </w:rPr>
        <w:t xml:space="preserve"> is an</w:t>
      </w:r>
      <w:r w:rsidR="002A78DE">
        <w:rPr>
          <w:lang w:val="en-CA"/>
        </w:rPr>
        <w:t xml:space="preserve"> </w:t>
      </w:r>
      <w:r w:rsidR="00CD5A45">
        <w:rPr>
          <w:lang w:val="en-CA"/>
        </w:rPr>
        <w:t>important acknowledgement</w:t>
      </w:r>
      <w:r w:rsidR="008625AB">
        <w:rPr>
          <w:lang w:val="en-CA"/>
        </w:rPr>
        <w:t xml:space="preserve"> that sex/gender is </w:t>
      </w:r>
      <w:r w:rsidR="00CD47D6">
        <w:rPr>
          <w:lang w:val="en-CA"/>
        </w:rPr>
        <w:t xml:space="preserve">socially </w:t>
      </w:r>
      <w:r w:rsidR="008625AB">
        <w:rPr>
          <w:lang w:val="en-CA"/>
        </w:rPr>
        <w:t xml:space="preserve">produced and regulated, </w:t>
      </w:r>
      <w:r w:rsidR="00A52903">
        <w:rPr>
          <w:lang w:val="en-CA"/>
        </w:rPr>
        <w:t>and that change in one set of</w:t>
      </w:r>
      <w:r w:rsidR="008625AB">
        <w:rPr>
          <w:lang w:val="en-CA"/>
        </w:rPr>
        <w:t xml:space="preserve"> </w:t>
      </w:r>
      <w:r w:rsidR="00CD47D6">
        <w:rPr>
          <w:lang w:val="en-CA"/>
        </w:rPr>
        <w:t xml:space="preserve">dyadic </w:t>
      </w:r>
      <w:r w:rsidR="008625AB">
        <w:rPr>
          <w:lang w:val="en-CA"/>
        </w:rPr>
        <w:t xml:space="preserve">gendered social expectations necessarily involves change in </w:t>
      </w:r>
      <w:r w:rsidR="00A52903">
        <w:rPr>
          <w:lang w:val="en-CA"/>
        </w:rPr>
        <w:t xml:space="preserve">the other, although the binary arrangement is not questioned. </w:t>
      </w:r>
      <w:r w:rsidR="006E7834">
        <w:rPr>
          <w:lang w:val="en-CA"/>
        </w:rPr>
        <w:t xml:space="preserve">Article 2(f) </w:t>
      </w:r>
      <w:r w:rsidR="00A52903">
        <w:rPr>
          <w:lang w:val="en-CA"/>
        </w:rPr>
        <w:t>underlines the</w:t>
      </w:r>
      <w:r w:rsidR="00F76AA4">
        <w:rPr>
          <w:lang w:val="en-CA"/>
        </w:rPr>
        <w:t xml:space="preserve"> need for social change by </w:t>
      </w:r>
      <w:r w:rsidR="006E7834">
        <w:rPr>
          <w:lang w:val="en-CA"/>
        </w:rPr>
        <w:t>making</w:t>
      </w:r>
      <w:r w:rsidR="00F76AA4">
        <w:rPr>
          <w:lang w:val="en-CA"/>
        </w:rPr>
        <w:t xml:space="preserve"> it clear that states parties</w:t>
      </w:r>
      <w:r w:rsidR="00A176C5">
        <w:rPr>
          <w:lang w:val="en-CA"/>
        </w:rPr>
        <w:t>’</w:t>
      </w:r>
      <w:r w:rsidR="00F76AA4">
        <w:rPr>
          <w:lang w:val="en-CA"/>
        </w:rPr>
        <w:t xml:space="preserve"> obligations are not confined to changing laws and regulations that discriminate against women, but extend to modifying or abolishing discriminatory customs and practices. </w:t>
      </w:r>
      <w:r w:rsidR="00614E1A">
        <w:rPr>
          <w:lang w:val="en-CA"/>
        </w:rPr>
        <w:t>The obligation to support and foster meaningful social change</w:t>
      </w:r>
      <w:r w:rsidR="00A176C5">
        <w:rPr>
          <w:lang w:val="en-CA"/>
        </w:rPr>
        <w:t>, in relation to men as well as women,</w:t>
      </w:r>
      <w:r w:rsidR="00614E1A">
        <w:rPr>
          <w:lang w:val="en-CA"/>
        </w:rPr>
        <w:t xml:space="preserve"> is </w:t>
      </w:r>
      <w:r w:rsidR="00FA5EEC">
        <w:rPr>
          <w:lang w:val="en-CA"/>
        </w:rPr>
        <w:t xml:space="preserve">made clear </w:t>
      </w:r>
      <w:r w:rsidR="00603F4A" w:rsidRPr="009C1663">
        <w:rPr>
          <w:lang w:val="en-CA"/>
        </w:rPr>
        <w:t>in</w:t>
      </w:r>
      <w:r w:rsidR="00577439">
        <w:rPr>
          <w:lang w:val="en-CA"/>
        </w:rPr>
        <w:t xml:space="preserve"> article 5(a) which requires s</w:t>
      </w:r>
      <w:r w:rsidR="00603F4A" w:rsidRPr="009C1663">
        <w:rPr>
          <w:lang w:val="en-CA"/>
        </w:rPr>
        <w:t xml:space="preserve">tates parties </w:t>
      </w:r>
      <w:r w:rsidR="00194E00" w:rsidRPr="009C1663">
        <w:rPr>
          <w:lang w:val="en-CA"/>
        </w:rPr>
        <w:t xml:space="preserve">to ‘modify … social and cultural patterns … with a view to </w:t>
      </w:r>
      <w:r w:rsidR="00194E00" w:rsidRPr="009C1663">
        <w:rPr>
          <w:lang w:val="en-CA"/>
        </w:rPr>
        <w:lastRenderedPageBreak/>
        <w:t>achieving the elimination of prejudices and customary and all other practices which are based on the idea of the inferiority or superiority of either of the sexes or on stereotyped roles for men and women’.</w:t>
      </w:r>
    </w:p>
    <w:p w:rsidR="003C6A4C" w:rsidRPr="009C1663" w:rsidRDefault="00194E00" w:rsidP="008D62C3">
      <w:pPr>
        <w:rPr>
          <w:lang w:val="en-CA"/>
        </w:rPr>
      </w:pPr>
      <w:r w:rsidRPr="009C1663">
        <w:rPr>
          <w:lang w:val="en-CA"/>
        </w:rPr>
        <w:t xml:space="preserve"> While the</w:t>
      </w:r>
      <w:r w:rsidR="00577439">
        <w:rPr>
          <w:lang w:val="en-CA"/>
        </w:rPr>
        <w:t xml:space="preserve"> sexed </w:t>
      </w:r>
      <w:r w:rsidRPr="009C1663">
        <w:rPr>
          <w:lang w:val="en-CA"/>
        </w:rPr>
        <w:t xml:space="preserve">language of </w:t>
      </w:r>
      <w:r w:rsidR="006E7834">
        <w:rPr>
          <w:lang w:val="en-CA"/>
        </w:rPr>
        <w:t xml:space="preserve">CEDAW </w:t>
      </w:r>
      <w:r w:rsidR="00C365E8">
        <w:rPr>
          <w:lang w:val="en-CA"/>
        </w:rPr>
        <w:t>article 5(a)</w:t>
      </w:r>
      <w:r w:rsidRPr="009C1663">
        <w:rPr>
          <w:lang w:val="en-CA"/>
        </w:rPr>
        <w:t xml:space="preserve"> remains dualistic, fully recognizing the so</w:t>
      </w:r>
      <w:r w:rsidR="0044295A">
        <w:rPr>
          <w:lang w:val="en-CA"/>
        </w:rPr>
        <w:t xml:space="preserve">cial and cultural nature of </w:t>
      </w:r>
      <w:r w:rsidRPr="009C1663">
        <w:rPr>
          <w:lang w:val="en-CA"/>
        </w:rPr>
        <w:t xml:space="preserve">gender practices and </w:t>
      </w:r>
      <w:r w:rsidR="00DA7D61">
        <w:rPr>
          <w:lang w:val="en-CA"/>
        </w:rPr>
        <w:t xml:space="preserve">stereotypes </w:t>
      </w:r>
      <w:r w:rsidRPr="009C1663">
        <w:rPr>
          <w:lang w:val="en-CA"/>
        </w:rPr>
        <w:t xml:space="preserve">seems to me to lead inexorably to the conclusion that </w:t>
      </w:r>
      <w:r w:rsidR="00AE03F3" w:rsidRPr="009C1663">
        <w:rPr>
          <w:lang w:val="en-CA"/>
        </w:rPr>
        <w:t>gender</w:t>
      </w:r>
      <w:r w:rsidRPr="009C1663">
        <w:rPr>
          <w:lang w:val="en-CA"/>
        </w:rPr>
        <w:t xml:space="preserve"> </w:t>
      </w:r>
      <w:r w:rsidR="00A87414">
        <w:rPr>
          <w:lang w:val="en-CA"/>
        </w:rPr>
        <w:t>[</w:t>
      </w:r>
      <w:r w:rsidR="0044295A">
        <w:rPr>
          <w:lang w:val="en-CA"/>
        </w:rPr>
        <w:t>identit</w:t>
      </w:r>
      <w:r w:rsidR="00DA7D61">
        <w:rPr>
          <w:lang w:val="en-CA"/>
        </w:rPr>
        <w:t>y</w:t>
      </w:r>
      <w:r w:rsidR="00A87414">
        <w:rPr>
          <w:lang w:val="en-CA"/>
        </w:rPr>
        <w:t>]</w:t>
      </w:r>
      <w:r w:rsidR="0044295A">
        <w:rPr>
          <w:lang w:val="en-CA"/>
        </w:rPr>
        <w:t xml:space="preserve"> </w:t>
      </w:r>
      <w:r w:rsidR="00C365E8">
        <w:rPr>
          <w:lang w:val="en-CA"/>
        </w:rPr>
        <w:t xml:space="preserve">can </w:t>
      </w:r>
      <w:r w:rsidR="00577439">
        <w:rPr>
          <w:lang w:val="en-CA"/>
        </w:rPr>
        <w:t>be experienced and/or perceived as</w:t>
      </w:r>
      <w:r w:rsidR="00AE03F3" w:rsidRPr="009C1663">
        <w:rPr>
          <w:lang w:val="en-CA"/>
        </w:rPr>
        <w:t xml:space="preserve"> </w:t>
      </w:r>
      <w:r w:rsidRPr="009C1663">
        <w:rPr>
          <w:lang w:val="en-CA"/>
        </w:rPr>
        <w:t>fluid and potentially multipl</w:t>
      </w:r>
      <w:r w:rsidR="00577439">
        <w:rPr>
          <w:lang w:val="en-CA"/>
        </w:rPr>
        <w:t>icitous</w:t>
      </w:r>
      <w:r w:rsidR="00CD5A45">
        <w:rPr>
          <w:lang w:val="en-CA"/>
        </w:rPr>
        <w:t xml:space="preserve">, </w:t>
      </w:r>
      <w:r w:rsidR="00A87414">
        <w:rPr>
          <w:lang w:val="en-CA"/>
        </w:rPr>
        <w:t xml:space="preserve">constrained </w:t>
      </w:r>
      <w:r w:rsidR="00CD5A45">
        <w:rPr>
          <w:lang w:val="en-CA"/>
        </w:rPr>
        <w:t xml:space="preserve">only by </w:t>
      </w:r>
      <w:r w:rsidR="00DA7D61">
        <w:rPr>
          <w:lang w:val="en-CA"/>
        </w:rPr>
        <w:t xml:space="preserve">its </w:t>
      </w:r>
      <w:r w:rsidR="00FA5EEC">
        <w:rPr>
          <w:lang w:val="en-CA"/>
        </w:rPr>
        <w:t xml:space="preserve">historical and </w:t>
      </w:r>
      <w:r w:rsidR="00CD5A45">
        <w:rPr>
          <w:lang w:val="en-CA"/>
        </w:rPr>
        <w:t>cultural context</w:t>
      </w:r>
      <w:r w:rsidRPr="009C1663">
        <w:rPr>
          <w:lang w:val="en-CA"/>
        </w:rPr>
        <w:t>.</w:t>
      </w:r>
      <w:r w:rsidR="00CD47D6">
        <w:rPr>
          <w:lang w:val="en-CA"/>
        </w:rPr>
        <w:t xml:space="preserve"> In other words</w:t>
      </w:r>
      <w:r w:rsidRPr="009C1663">
        <w:rPr>
          <w:lang w:val="en-CA"/>
        </w:rPr>
        <w:t xml:space="preserve">, </w:t>
      </w:r>
      <w:r w:rsidR="002006E9">
        <w:rPr>
          <w:lang w:val="en-CA"/>
        </w:rPr>
        <w:t xml:space="preserve">it is possible to interpret </w:t>
      </w:r>
      <w:r w:rsidRPr="009C1663">
        <w:rPr>
          <w:lang w:val="en-CA"/>
        </w:rPr>
        <w:t>CEDAW as prohibiting all forms of sex discrimination</w:t>
      </w:r>
      <w:r w:rsidR="00AE03F3" w:rsidRPr="009C1663">
        <w:rPr>
          <w:lang w:val="en-CA"/>
        </w:rPr>
        <w:t>, including those</w:t>
      </w:r>
      <w:r w:rsidRPr="009C1663">
        <w:rPr>
          <w:lang w:val="en-CA"/>
        </w:rPr>
        <w:t xml:space="preserve"> </w:t>
      </w:r>
      <w:r w:rsidR="002006E9">
        <w:rPr>
          <w:lang w:val="en-CA"/>
        </w:rPr>
        <w:t xml:space="preserve">forms </w:t>
      </w:r>
      <w:r w:rsidRPr="009C1663">
        <w:rPr>
          <w:lang w:val="en-CA"/>
        </w:rPr>
        <w:t>experienced by men and other gender</w:t>
      </w:r>
      <w:r w:rsidR="00A87414">
        <w:rPr>
          <w:lang w:val="en-CA"/>
        </w:rPr>
        <w:t>s</w:t>
      </w:r>
      <w:r w:rsidR="00FD6902" w:rsidRPr="009C1663">
        <w:rPr>
          <w:lang w:val="en-CA"/>
        </w:rPr>
        <w:t xml:space="preserve">, </w:t>
      </w:r>
      <w:r w:rsidR="00FD6902" w:rsidRPr="009C1663">
        <w:t>such as intersex and transgendered people, gender transients, multi-gendered people, androgynes, butch lesbians, transvestites,</w:t>
      </w:r>
      <w:r w:rsidR="00325E05">
        <w:t xml:space="preserve"> cross-dressers,</w:t>
      </w:r>
      <w:r w:rsidR="00FD6902" w:rsidRPr="009C1663">
        <w:t xml:space="preserve"> those identify as an ‘in-between</w:t>
      </w:r>
      <w:r w:rsidR="00FA5EEC">
        <w:t>,</w:t>
      </w:r>
      <w:r w:rsidR="00FD6902" w:rsidRPr="009C1663">
        <w:t xml:space="preserve">’ </w:t>
      </w:r>
      <w:r w:rsidR="00A87414">
        <w:t>sex ‘non-specific,’</w:t>
      </w:r>
      <w:r w:rsidR="00FD6902" w:rsidRPr="009C1663">
        <w:t xml:space="preserve"> third sex</w:t>
      </w:r>
      <w:r w:rsidR="00D31AA3">
        <w:t xml:space="preserve"> and </w:t>
      </w:r>
      <w:r w:rsidR="00325E05">
        <w:t>any others</w:t>
      </w:r>
      <w:r w:rsidRPr="009C1663">
        <w:rPr>
          <w:lang w:val="en-CA"/>
        </w:rPr>
        <w:t>.</w:t>
      </w:r>
      <w:r w:rsidR="00577439">
        <w:rPr>
          <w:rStyle w:val="FootnoteReference"/>
          <w:lang w:val="en-CA"/>
        </w:rPr>
        <w:footnoteReference w:id="23"/>
      </w:r>
      <w:r w:rsidR="00754535">
        <w:rPr>
          <w:lang w:val="en-CA"/>
        </w:rPr>
        <w:t xml:space="preserve"> </w:t>
      </w:r>
      <w:r w:rsidR="00325E05">
        <w:rPr>
          <w:lang w:val="en-CA"/>
        </w:rPr>
        <w:t>Rikki Holtmaat describes this as the ‘transformative’ potential of CEDAW, whereby the obligation to modify gender stereotypes and fixed parental roles</w:t>
      </w:r>
      <w:r w:rsidR="00D408B5">
        <w:rPr>
          <w:lang w:val="en-CA"/>
        </w:rPr>
        <w:t xml:space="preserve"> should</w:t>
      </w:r>
      <w:r w:rsidR="00325E05">
        <w:rPr>
          <w:lang w:val="en-CA"/>
        </w:rPr>
        <w:t xml:space="preserve"> </w:t>
      </w:r>
      <w:r w:rsidR="00D408B5">
        <w:rPr>
          <w:lang w:val="en-CA"/>
        </w:rPr>
        <w:t>enable everyone to express their gender identity in the way they choose, without suffering adverse discriminatory consequences.</w:t>
      </w:r>
      <w:r w:rsidR="00D408B5">
        <w:rPr>
          <w:rStyle w:val="FootnoteReference"/>
          <w:lang w:val="en-CA"/>
        </w:rPr>
        <w:footnoteReference w:id="24"/>
      </w:r>
      <w:r w:rsidR="00D408B5">
        <w:rPr>
          <w:lang w:val="en-CA"/>
        </w:rPr>
        <w:t xml:space="preserve"> </w:t>
      </w:r>
      <w:r w:rsidR="00A87414">
        <w:rPr>
          <w:lang w:val="en-CA"/>
        </w:rPr>
        <w:t>Yet the transformations envisaged by Holtmaat all take place in the social/cultural sphere</w:t>
      </w:r>
      <w:r w:rsidR="002006E9">
        <w:rPr>
          <w:lang w:val="en-CA"/>
        </w:rPr>
        <w:t>,</w:t>
      </w:r>
      <w:r w:rsidR="007B1021">
        <w:rPr>
          <w:lang w:val="en-CA"/>
        </w:rPr>
        <w:t xml:space="preserve"> </w:t>
      </w:r>
      <w:r w:rsidR="00A87414">
        <w:rPr>
          <w:lang w:val="en-CA"/>
        </w:rPr>
        <w:t xml:space="preserve">leaving </w:t>
      </w:r>
      <w:r w:rsidR="002006E9">
        <w:rPr>
          <w:lang w:val="en-CA"/>
        </w:rPr>
        <w:t xml:space="preserve">the underlying </w:t>
      </w:r>
      <w:r w:rsidR="00A87414">
        <w:rPr>
          <w:lang w:val="en-CA"/>
        </w:rPr>
        <w:t xml:space="preserve">(bio)logic </w:t>
      </w:r>
      <w:r w:rsidR="00CD47D6">
        <w:rPr>
          <w:lang w:val="en-CA"/>
        </w:rPr>
        <w:t xml:space="preserve">of the law </w:t>
      </w:r>
      <w:r w:rsidR="007B1021">
        <w:rPr>
          <w:lang w:val="en-CA"/>
        </w:rPr>
        <w:t xml:space="preserve">still </w:t>
      </w:r>
      <w:r w:rsidR="00A87414">
        <w:rPr>
          <w:lang w:val="en-CA"/>
        </w:rPr>
        <w:t xml:space="preserve">unchallenged. </w:t>
      </w:r>
    </w:p>
    <w:p w:rsidR="002E0FBB" w:rsidRPr="00CE0D24" w:rsidRDefault="002A0C98" w:rsidP="008D62C3">
      <w:r w:rsidRPr="009C1663">
        <w:t xml:space="preserve">Two developments occurred in the 1990s, which strengthened the </w:t>
      </w:r>
      <w:r w:rsidR="00754535">
        <w:t xml:space="preserve">potential for the </w:t>
      </w:r>
      <w:r w:rsidRPr="009C1663">
        <w:t xml:space="preserve">CEDAW </w:t>
      </w:r>
      <w:r w:rsidR="00754535">
        <w:t xml:space="preserve">Committee to </w:t>
      </w:r>
      <w:r w:rsidR="00750A25">
        <w:t xml:space="preserve">treat </w:t>
      </w:r>
      <w:r w:rsidR="001C6F82">
        <w:t>sex/</w:t>
      </w:r>
      <w:r w:rsidR="00750A25">
        <w:t>g</w:t>
      </w:r>
      <w:r w:rsidR="002E0FBB" w:rsidRPr="009C1663">
        <w:t xml:space="preserve">ender </w:t>
      </w:r>
      <w:r w:rsidR="00750A25">
        <w:t>as</w:t>
      </w:r>
      <w:r w:rsidRPr="009C1663">
        <w:t>, in large part</w:t>
      </w:r>
      <w:r w:rsidR="00AE03F3" w:rsidRPr="009C1663">
        <w:t xml:space="preserve"> if not totally</w:t>
      </w:r>
      <w:r w:rsidR="002E0FBB" w:rsidRPr="009C1663">
        <w:t>,</w:t>
      </w:r>
      <w:r w:rsidRPr="009C1663">
        <w:t xml:space="preserve"> socially constituted. The first was the </w:t>
      </w:r>
      <w:r w:rsidR="00AE03F3" w:rsidRPr="009C1663">
        <w:t xml:space="preserve">acceptance </w:t>
      </w:r>
      <w:r w:rsidRPr="009C1663">
        <w:t>of the language of ‘gender’ in</w:t>
      </w:r>
      <w:r w:rsidR="008C23CA" w:rsidRPr="009C1663">
        <w:t>to the international legal lexicon</w:t>
      </w:r>
      <w:r w:rsidR="002E0FBB" w:rsidRPr="009C1663">
        <w:t>.</w:t>
      </w:r>
      <w:r w:rsidRPr="009C1663">
        <w:t xml:space="preserve"> </w:t>
      </w:r>
      <w:r w:rsidR="002E0FBB" w:rsidRPr="009C1663">
        <w:t>In 1995, after a protracted struggle, a distinction between ‘sex’ (</w:t>
      </w:r>
      <w:r w:rsidR="00750A25">
        <w:t>understood as biologically determined</w:t>
      </w:r>
      <w:r w:rsidR="002E0FBB" w:rsidRPr="009C1663">
        <w:t>) and ‘gender’ (</w:t>
      </w:r>
      <w:r w:rsidR="00F235F4">
        <w:t xml:space="preserve">understood as </w:t>
      </w:r>
      <w:r w:rsidR="00750A25">
        <w:t>the result of social practices and interactions) was formally accepted by s</w:t>
      </w:r>
      <w:r w:rsidR="002E0FBB" w:rsidRPr="009C1663">
        <w:t>tates at the Fourth World Conference on Women in Beijing</w:t>
      </w:r>
      <w:r w:rsidR="00750A25">
        <w:t>,</w:t>
      </w:r>
      <w:bookmarkStart w:id="8" w:name="_Ref431739235"/>
      <w:r w:rsidR="006A2702">
        <w:rPr>
          <w:rStyle w:val="FootnoteReference"/>
        </w:rPr>
        <w:footnoteReference w:id="25"/>
      </w:r>
      <w:bookmarkEnd w:id="8"/>
      <w:r w:rsidR="006A2702" w:rsidRPr="009C1663">
        <w:t xml:space="preserve"> </w:t>
      </w:r>
      <w:r w:rsidR="00750A25">
        <w:t>although there were some notable dissenters</w:t>
      </w:r>
      <w:r w:rsidR="00C365E8">
        <w:t xml:space="preserve"> including the Vatican and </w:t>
      </w:r>
      <w:r w:rsidR="00D72A11">
        <w:t xml:space="preserve">(most) </w:t>
      </w:r>
      <w:r w:rsidR="00C365E8">
        <w:t xml:space="preserve">members of the Organization of Islamic </w:t>
      </w:r>
      <w:r w:rsidR="0070243B">
        <w:t>Conference</w:t>
      </w:r>
      <w:r w:rsidR="00F235F4">
        <w:t>, who have remained intransigent on this point</w:t>
      </w:r>
      <w:r w:rsidR="00E2554A">
        <w:t xml:space="preserve"> ever </w:t>
      </w:r>
      <w:r w:rsidR="00E2554A">
        <w:lastRenderedPageBreak/>
        <w:t>since</w:t>
      </w:r>
      <w:r w:rsidR="00F235F4">
        <w:t>.</w:t>
      </w:r>
      <w:r w:rsidR="00475725">
        <w:rPr>
          <w:rStyle w:val="FootnoteReference"/>
        </w:rPr>
        <w:footnoteReference w:id="26"/>
      </w:r>
      <w:r w:rsidR="00C365E8">
        <w:t xml:space="preserve"> Nevertheless</w:t>
      </w:r>
      <w:r w:rsidR="00F235F4">
        <w:t>, t</w:t>
      </w:r>
      <w:r w:rsidR="002E0FBB" w:rsidRPr="009C1663">
        <w:t>his moment marked a critical turning point for feminist (and queer) engagement with international law</w:t>
      </w:r>
      <w:r w:rsidR="0044295A">
        <w:t xml:space="preserve"> because</w:t>
      </w:r>
      <w:r w:rsidR="00F235F4">
        <w:t xml:space="preserve"> the</w:t>
      </w:r>
      <w:r w:rsidR="0044295A">
        <w:t xml:space="preserve"> </w:t>
      </w:r>
      <w:r w:rsidR="00F235F4">
        <w:t xml:space="preserve">acceptance of </w:t>
      </w:r>
      <w:r w:rsidR="008C23CA" w:rsidRPr="009C1663">
        <w:t xml:space="preserve">gender </w:t>
      </w:r>
      <w:r w:rsidR="00F235F4">
        <w:t>a</w:t>
      </w:r>
      <w:r w:rsidR="008C23CA" w:rsidRPr="009C1663">
        <w:t xml:space="preserve">s a social category </w:t>
      </w:r>
      <w:r w:rsidR="00CD47D6">
        <w:t xml:space="preserve">provided the means to </w:t>
      </w:r>
      <w:r w:rsidR="008C23CA" w:rsidRPr="009C1663">
        <w:t>fundamental</w:t>
      </w:r>
      <w:r w:rsidR="00AE03F3" w:rsidRPr="009C1663">
        <w:t>ly</w:t>
      </w:r>
      <w:r w:rsidR="008C23CA" w:rsidRPr="009C1663">
        <w:t xml:space="preserve"> challenge the</w:t>
      </w:r>
      <w:r w:rsidR="00CE0D24">
        <w:t xml:space="preserve"> tradition of</w:t>
      </w:r>
      <w:r w:rsidR="008C23CA" w:rsidRPr="009C1663">
        <w:t xml:space="preserve"> </w:t>
      </w:r>
      <w:r w:rsidR="006E4E1C">
        <w:t>masculine superiority (m&gt;f) and disrupt (</w:t>
      </w:r>
      <w:r w:rsidR="008C23CA" w:rsidRPr="009C1663">
        <w:t>bio</w:t>
      </w:r>
      <w:r w:rsidR="006E4E1C">
        <w:t>)</w:t>
      </w:r>
      <w:r w:rsidR="008C23CA" w:rsidRPr="009C1663">
        <w:t xml:space="preserve">logic </w:t>
      </w:r>
      <w:r w:rsidR="006E4E1C">
        <w:t>(</w:t>
      </w:r>
      <w:r w:rsidR="008C23CA" w:rsidRPr="009C1663">
        <w:t>m/f</w:t>
      </w:r>
      <w:r w:rsidR="006E4E1C">
        <w:t>) by</w:t>
      </w:r>
      <w:r w:rsidR="00C365E8">
        <w:t xml:space="preserve"> </w:t>
      </w:r>
      <w:r w:rsidR="00B501F2">
        <w:t xml:space="preserve">admitting the possibility of more than two sexes, </w:t>
      </w:r>
      <w:r w:rsidR="00D31AA3">
        <w:t xml:space="preserve">just </w:t>
      </w:r>
      <w:r w:rsidR="00B501F2">
        <w:t>as the Vatican feared in Beijing</w:t>
      </w:r>
      <w:r w:rsidR="00F235F4">
        <w:t>.</w:t>
      </w:r>
      <w:r w:rsidR="00B501F2">
        <w:rPr>
          <w:rStyle w:val="FootnoteReference"/>
          <w:bCs/>
        </w:rPr>
        <w:footnoteReference w:id="27"/>
      </w:r>
      <w:r w:rsidR="00F235F4">
        <w:t xml:space="preserve"> This </w:t>
      </w:r>
      <w:r w:rsidR="00B501F2">
        <w:t xml:space="preserve">shift </w:t>
      </w:r>
      <w:r w:rsidR="00F235F4">
        <w:t>also</w:t>
      </w:r>
      <w:r w:rsidR="008C23CA" w:rsidRPr="009C1663">
        <w:t xml:space="preserve"> </w:t>
      </w:r>
      <w:r w:rsidR="008C23CA" w:rsidRPr="009C1663">
        <w:rPr>
          <w:rStyle w:val="FootnoteReference"/>
          <w:rFonts w:cstheme="minorHAnsi"/>
          <w:bCs/>
        </w:rPr>
        <w:t xml:space="preserve"> </w:t>
      </w:r>
      <w:r w:rsidR="00F235F4">
        <w:t>open</w:t>
      </w:r>
      <w:r w:rsidR="00B501F2">
        <w:t>ed</w:t>
      </w:r>
      <w:r w:rsidR="008C23CA" w:rsidRPr="009C1663">
        <w:t xml:space="preserve"> the potential to challenge </w:t>
      </w:r>
      <w:r w:rsidR="002E0FBB" w:rsidRPr="009C1663">
        <w:t>‘natural</w:t>
      </w:r>
      <w:r w:rsidR="008C23CA" w:rsidRPr="009C1663">
        <w:t xml:space="preserve">’ conceptions of the </w:t>
      </w:r>
      <w:r w:rsidR="00F235F4">
        <w:t xml:space="preserve">(heteronormative) </w:t>
      </w:r>
      <w:r w:rsidR="008C23CA" w:rsidRPr="009C1663">
        <w:t>family</w:t>
      </w:r>
      <w:r w:rsidR="002E0FBB" w:rsidRPr="009C1663">
        <w:t xml:space="preserve"> and </w:t>
      </w:r>
      <w:r w:rsidR="00603F4A" w:rsidRPr="009C1663">
        <w:t xml:space="preserve">humanize </w:t>
      </w:r>
      <w:r w:rsidR="002E0FBB" w:rsidRPr="009C1663">
        <w:t>a host of</w:t>
      </w:r>
      <w:r w:rsidR="008C23CA" w:rsidRPr="009C1663">
        <w:t xml:space="preserve"> so-called</w:t>
      </w:r>
      <w:r w:rsidR="002E0FBB" w:rsidRPr="009C1663">
        <w:t xml:space="preserve"> unnatural </w:t>
      </w:r>
      <w:r w:rsidR="00CD5A45">
        <w:t>forms of gender identity and expression</w:t>
      </w:r>
      <w:r w:rsidR="002A78DE">
        <w:t>, including transgender</w:t>
      </w:r>
      <w:r w:rsidR="00D31AA3">
        <w:t xml:space="preserve"> and </w:t>
      </w:r>
      <w:r w:rsidR="002A78DE">
        <w:t>intersex</w:t>
      </w:r>
      <w:r w:rsidR="00D31AA3">
        <w:t xml:space="preserve">, as well as those that resist </w:t>
      </w:r>
      <w:r w:rsidR="00CD47D6">
        <w:t xml:space="preserve">normative </w:t>
      </w:r>
      <w:r w:rsidR="00D31AA3">
        <w:t>definition altogether</w:t>
      </w:r>
      <w:r w:rsidR="002E0FBB" w:rsidRPr="009C1663">
        <w:t xml:space="preserve">. </w:t>
      </w:r>
      <w:r w:rsidR="00730CDB" w:rsidRPr="009C1663">
        <w:t>Unfortunately</w:t>
      </w:r>
      <w:r w:rsidR="00FA5EEC">
        <w:t xml:space="preserve"> however</w:t>
      </w:r>
      <w:r w:rsidR="002C34C1">
        <w:t xml:space="preserve">, </w:t>
      </w:r>
      <w:r w:rsidR="00730CDB" w:rsidRPr="009C1663">
        <w:t xml:space="preserve">the </w:t>
      </w:r>
      <w:r w:rsidR="00475725">
        <w:t>subsequently</w:t>
      </w:r>
      <w:r w:rsidR="00475725" w:rsidRPr="009C1663">
        <w:t xml:space="preserve"> </w:t>
      </w:r>
      <w:r w:rsidR="00475725">
        <w:t xml:space="preserve">adopted </w:t>
      </w:r>
      <w:r w:rsidR="002C34C1">
        <w:t xml:space="preserve">official </w:t>
      </w:r>
      <w:r w:rsidR="00730CDB" w:rsidRPr="009C1663">
        <w:t>UN definitions</w:t>
      </w:r>
      <w:r w:rsidR="00475725">
        <w:t xml:space="preserve"> </w:t>
      </w:r>
      <w:r w:rsidR="002C34C1">
        <w:t xml:space="preserve">impose limits on these possibilities by continuing to </w:t>
      </w:r>
      <w:r w:rsidR="00730CDB" w:rsidRPr="009C1663">
        <w:t>anchor social constructio</w:t>
      </w:r>
      <w:r w:rsidR="002A78DE">
        <w:t>ns of ‘</w:t>
      </w:r>
      <w:r w:rsidR="00730CDB" w:rsidRPr="009C1663">
        <w:t>gender’ in a biological base of ‘sex’,</w:t>
      </w:r>
      <w:r w:rsidR="002A78DE">
        <w:rPr>
          <w:rStyle w:val="FootnoteReference"/>
        </w:rPr>
        <w:footnoteReference w:id="28"/>
      </w:r>
      <w:r w:rsidR="00730CDB" w:rsidRPr="009C1663">
        <w:t xml:space="preserve"> which </w:t>
      </w:r>
      <w:r w:rsidR="00750A25">
        <w:t>still leaves</w:t>
      </w:r>
      <w:r w:rsidR="0044295A">
        <w:t xml:space="preserve"> </w:t>
      </w:r>
      <w:r w:rsidR="00730CDB" w:rsidRPr="009C1663">
        <w:t>space for</w:t>
      </w:r>
      <w:r w:rsidR="0044295A">
        <w:t xml:space="preserve"> those who insist </w:t>
      </w:r>
      <w:r w:rsidR="0044295A" w:rsidRPr="00CE0D24">
        <w:t xml:space="preserve">dualistic </w:t>
      </w:r>
      <w:r w:rsidR="005C3F13">
        <w:t>gender is the natural order because the m</w:t>
      </w:r>
      <w:r w:rsidR="006E4E1C">
        <w:t>/f</w:t>
      </w:r>
      <w:r w:rsidR="005C3F13">
        <w:t xml:space="preserve"> binary of </w:t>
      </w:r>
      <w:r w:rsidR="00CD47D6">
        <w:t xml:space="preserve">physiological </w:t>
      </w:r>
      <w:r w:rsidR="005C3F13">
        <w:t xml:space="preserve">sex </w:t>
      </w:r>
      <w:r w:rsidR="00265135">
        <w:t xml:space="preserve">is </w:t>
      </w:r>
      <w:r w:rsidR="006E4E1C">
        <w:t xml:space="preserve">treated </w:t>
      </w:r>
      <w:r w:rsidR="00FA5EEC">
        <w:t xml:space="preserve">as </w:t>
      </w:r>
      <w:r w:rsidR="005C3F13">
        <w:t xml:space="preserve">the </w:t>
      </w:r>
      <w:r w:rsidR="00265135">
        <w:t>bedrock for gendered social arrangements.</w:t>
      </w:r>
      <w:r w:rsidR="00265135">
        <w:rPr>
          <w:rStyle w:val="FootnoteReference"/>
        </w:rPr>
        <w:footnoteReference w:id="29"/>
      </w:r>
      <w:r w:rsidR="005C3F13">
        <w:t xml:space="preserve"> </w:t>
      </w:r>
      <w:r w:rsidR="00730CDB" w:rsidRPr="00CE0D24">
        <w:t>While feminists disagree about how far to take social constructivism</w:t>
      </w:r>
      <w:r w:rsidR="006E4E1C">
        <w:t xml:space="preserve">, </w:t>
      </w:r>
      <w:r w:rsidR="00D42325">
        <w:t>t</w:t>
      </w:r>
      <w:r w:rsidR="00730CDB" w:rsidRPr="00CE0D24">
        <w:t xml:space="preserve">he result has nevertheless rendered biological explanations for </w:t>
      </w:r>
      <w:r w:rsidR="00A00F71" w:rsidRPr="00CE0D24">
        <w:t xml:space="preserve">unequal </w:t>
      </w:r>
      <w:r w:rsidR="00730CDB" w:rsidRPr="00CE0D24">
        <w:t>treatment of women and men highly suspect</w:t>
      </w:r>
      <w:r w:rsidR="00AE03F3" w:rsidRPr="00CE0D24">
        <w:t xml:space="preserve"> – thus </w:t>
      </w:r>
      <w:r w:rsidR="006E4E1C">
        <w:t xml:space="preserve">de-naturalizing the gender </w:t>
      </w:r>
      <w:r w:rsidR="00AE03F3" w:rsidRPr="00CE0D24">
        <w:t>hierarchy</w:t>
      </w:r>
      <w:r w:rsidR="003849B1" w:rsidRPr="00CE0D24">
        <w:t xml:space="preserve"> </w:t>
      </w:r>
      <w:r w:rsidR="00603F4A" w:rsidRPr="00CE0D24">
        <w:t>(m&gt;f)</w:t>
      </w:r>
      <w:r w:rsidR="00730CDB" w:rsidRPr="00CE0D24">
        <w:t>.</w:t>
      </w:r>
    </w:p>
    <w:p w:rsidR="008E3B59" w:rsidRDefault="008C23CA" w:rsidP="008D62C3">
      <w:r w:rsidRPr="00123C91">
        <w:t>Linked to th</w:t>
      </w:r>
      <w:r w:rsidR="00730CDB" w:rsidRPr="00123C91">
        <w:t xml:space="preserve">e introduction of the new language of gender was </w:t>
      </w:r>
      <w:r w:rsidR="002A0C98" w:rsidRPr="00123C91">
        <w:t xml:space="preserve">the </w:t>
      </w:r>
      <w:r w:rsidR="0044295A" w:rsidRPr="00123C91">
        <w:t xml:space="preserve">second development – the </w:t>
      </w:r>
      <w:r w:rsidR="0081446E" w:rsidRPr="00123C91">
        <w:t xml:space="preserve">adoption of the strategy of </w:t>
      </w:r>
      <w:r w:rsidR="002A0C98" w:rsidRPr="00123C91">
        <w:t>‘gender mainstreaming’</w:t>
      </w:r>
      <w:r w:rsidR="00CE0D24" w:rsidRPr="00123C91">
        <w:t xml:space="preserve"> across the entire UN system</w:t>
      </w:r>
      <w:r w:rsidR="0081446E" w:rsidRPr="00123C91">
        <w:t xml:space="preserve">, which was first endorsed </w:t>
      </w:r>
      <w:r w:rsidR="00B501F2">
        <w:t>at</w:t>
      </w:r>
      <w:r w:rsidR="0081446E" w:rsidRPr="00123C91">
        <w:t xml:space="preserve"> the 1993 Vienna World Conference on Human Rights and reaffirmed in 1995 at the Beijing World Conference on Women</w:t>
      </w:r>
      <w:r w:rsidR="0044295A" w:rsidRPr="00123C91">
        <w:t xml:space="preserve">. </w:t>
      </w:r>
      <w:r w:rsidR="00CE0D24" w:rsidRPr="00123C91">
        <w:t>This development prompted the chairpersons of the human rights treaty committees to commit to fully integrating gender perspectives into their working methods.</w:t>
      </w:r>
      <w:r w:rsidR="00CE0D24" w:rsidRPr="00123C91">
        <w:rPr>
          <w:vertAlign w:val="superscript"/>
        </w:rPr>
        <w:footnoteReference w:id="30"/>
      </w:r>
      <w:r w:rsidR="00750A25" w:rsidRPr="00123C91">
        <w:t xml:space="preserve">As a result, several treaty bodies adopted gender mainstreaming </w:t>
      </w:r>
      <w:r w:rsidR="00963A9D">
        <w:t>G</w:t>
      </w:r>
      <w:r w:rsidR="00750A25" w:rsidRPr="00123C91">
        <w:t xml:space="preserve">eneral </w:t>
      </w:r>
      <w:r w:rsidR="00963A9D">
        <w:t>C</w:t>
      </w:r>
      <w:r w:rsidR="00750A25" w:rsidRPr="00123C91">
        <w:t>omments (author</w:t>
      </w:r>
      <w:r w:rsidR="00750B66" w:rsidRPr="00123C91">
        <w:t>it</w:t>
      </w:r>
      <w:r w:rsidR="00750A25" w:rsidRPr="00123C91">
        <w:t>ative interpretations) which</w:t>
      </w:r>
      <w:r w:rsidR="00CE0D24" w:rsidRPr="00123C91">
        <w:t xml:space="preserve"> seek to </w:t>
      </w:r>
      <w:r w:rsidR="0013209E">
        <w:lastRenderedPageBreak/>
        <w:t xml:space="preserve">mainstream </w:t>
      </w:r>
      <w:r w:rsidR="002C34C1" w:rsidRPr="00123C91">
        <w:t>women</w:t>
      </w:r>
      <w:r w:rsidR="002C34C1">
        <w:t>’s experience of</w:t>
      </w:r>
      <w:r w:rsidR="002C34C1" w:rsidRPr="00123C91">
        <w:t xml:space="preserve"> </w:t>
      </w:r>
      <w:r w:rsidR="002C34C1">
        <w:t xml:space="preserve">human rights abuses </w:t>
      </w:r>
      <w:r w:rsidR="00750A25" w:rsidRPr="00123C91">
        <w:t>into</w:t>
      </w:r>
      <w:r w:rsidR="0081446E" w:rsidRPr="00123C91">
        <w:t xml:space="preserve"> the interpretation of </w:t>
      </w:r>
      <w:r w:rsidR="0013209E">
        <w:t xml:space="preserve">universal </w:t>
      </w:r>
      <w:r w:rsidR="00750B66" w:rsidRPr="00123C91">
        <w:t xml:space="preserve">human rights norms. For example, </w:t>
      </w:r>
      <w:r w:rsidR="0081446E" w:rsidRPr="00123C91">
        <w:t xml:space="preserve">the Human Rights Committee, which monitors implementation of the </w:t>
      </w:r>
      <w:r w:rsidR="0081446E" w:rsidRPr="0013209E">
        <w:rPr>
          <w:i/>
        </w:rPr>
        <w:t>I</w:t>
      </w:r>
      <w:r w:rsidR="0013209E" w:rsidRPr="0013209E">
        <w:rPr>
          <w:i/>
        </w:rPr>
        <w:t xml:space="preserve">nternational Covenant on Civil and Political Rights </w:t>
      </w:r>
      <w:r w:rsidR="0013209E">
        <w:t>(I</w:t>
      </w:r>
      <w:r w:rsidR="0081446E" w:rsidRPr="00123C91">
        <w:t>CCPR</w:t>
      </w:r>
      <w:r w:rsidR="0013209E">
        <w:t>)</w:t>
      </w:r>
      <w:r w:rsidR="0081446E" w:rsidRPr="00123C91">
        <w:t>,</w:t>
      </w:r>
      <w:r w:rsidR="0013209E">
        <w:rPr>
          <w:rStyle w:val="FootnoteReference"/>
          <w:bCs/>
        </w:rPr>
        <w:footnoteReference w:id="31"/>
      </w:r>
      <w:r w:rsidR="0081446E" w:rsidRPr="00123C91">
        <w:t xml:space="preserve"> recognizes that </w:t>
      </w:r>
      <w:r w:rsidR="00750B66" w:rsidRPr="00123C91">
        <w:t xml:space="preserve">domestic violence </w:t>
      </w:r>
      <w:r w:rsidR="0081446E" w:rsidRPr="00123C91">
        <w:t xml:space="preserve">may be </w:t>
      </w:r>
      <w:r w:rsidR="00750B66" w:rsidRPr="00123C91">
        <w:t>a form of torture or cruel inhuman and degrading treatment</w:t>
      </w:r>
      <w:r w:rsidR="00CD47D6">
        <w:t xml:space="preserve"> (violating article 7)</w:t>
      </w:r>
      <w:r w:rsidR="0081446E" w:rsidRPr="00123C91">
        <w:t>,</w:t>
      </w:r>
      <w:r w:rsidR="00750B66" w:rsidRPr="00123C91">
        <w:rPr>
          <w:rStyle w:val="FootnoteReference"/>
          <w:bCs/>
        </w:rPr>
        <w:footnoteReference w:id="32"/>
      </w:r>
      <w:r w:rsidR="00750B66" w:rsidRPr="00123C91">
        <w:t xml:space="preserve"> and </w:t>
      </w:r>
      <w:r w:rsidR="002C34C1">
        <w:t xml:space="preserve">that </w:t>
      </w:r>
      <w:r w:rsidR="0081446E" w:rsidRPr="00123C91">
        <w:t xml:space="preserve">a state’s failure to provide </w:t>
      </w:r>
      <w:r w:rsidR="00750B66" w:rsidRPr="00123C91">
        <w:t>acces</w:t>
      </w:r>
      <w:r w:rsidR="0081446E" w:rsidRPr="00123C91">
        <w:t xml:space="preserve">s to safe methods of abortion may be </w:t>
      </w:r>
      <w:r w:rsidR="00750B66" w:rsidRPr="00123C91">
        <w:t>a violation of the right to life</w:t>
      </w:r>
      <w:r w:rsidR="00CD47D6">
        <w:t xml:space="preserve"> (</w:t>
      </w:r>
      <w:r w:rsidR="00012219">
        <w:t xml:space="preserve">violating </w:t>
      </w:r>
      <w:r w:rsidR="00CD47D6">
        <w:t>article 6)</w:t>
      </w:r>
      <w:r w:rsidR="00750B66" w:rsidRPr="00123C91">
        <w:t>.</w:t>
      </w:r>
      <w:r w:rsidR="00750B66" w:rsidRPr="00123C91">
        <w:rPr>
          <w:rStyle w:val="FootnoteReference"/>
          <w:bCs/>
        </w:rPr>
        <w:footnoteReference w:id="33"/>
      </w:r>
      <w:r w:rsidR="00750B66" w:rsidRPr="00123C91">
        <w:t xml:space="preserve"> </w:t>
      </w:r>
      <w:r w:rsidR="00012219">
        <w:t>This approach, which interprets</w:t>
      </w:r>
      <w:r w:rsidR="00954D6A">
        <w:t xml:space="preserve"> existing human rights so they are more inclusive of women’s experience, transforms the universal standard so that it is no longer based solely on men’s</w:t>
      </w:r>
      <w:r w:rsidR="00012219">
        <w:t xml:space="preserve"> lives</w:t>
      </w:r>
      <w:r w:rsidR="00954D6A">
        <w:t xml:space="preserve">. </w:t>
      </w:r>
      <w:r w:rsidR="00012219">
        <w:t xml:space="preserve">As women’s specific experience becomes included in the universal, </w:t>
      </w:r>
      <w:r w:rsidR="00954D6A">
        <w:t>the</w:t>
      </w:r>
      <w:r w:rsidR="00012219">
        <w:t>re is less</w:t>
      </w:r>
      <w:r w:rsidR="00954D6A">
        <w:t xml:space="preserve"> need for women’s rights advocates to rely so heavily on a non-discrimination framework, which requires comparisons with men.</w:t>
      </w:r>
      <w:r w:rsidR="00750B66" w:rsidRPr="00123C91">
        <w:t xml:space="preserve"> </w:t>
      </w:r>
      <w:r w:rsidR="008E3B59">
        <w:t>Thus</w:t>
      </w:r>
      <w:r w:rsidR="0081446E" w:rsidRPr="00123C91">
        <w:t xml:space="preserve">, </w:t>
      </w:r>
      <w:r w:rsidR="00750B66" w:rsidRPr="00123C91">
        <w:t xml:space="preserve">gender mainstreaming </w:t>
      </w:r>
      <w:r w:rsidR="008E3B59">
        <w:t xml:space="preserve">has the potential </w:t>
      </w:r>
      <w:r w:rsidR="00750B66" w:rsidRPr="00123C91">
        <w:t xml:space="preserve">to </w:t>
      </w:r>
      <w:r w:rsidR="00DA7D61">
        <w:t xml:space="preserve">reduce </w:t>
      </w:r>
      <w:r w:rsidR="00750B66" w:rsidRPr="00123C91">
        <w:t xml:space="preserve">the </w:t>
      </w:r>
      <w:r w:rsidR="0013209E">
        <w:t xml:space="preserve">need for </w:t>
      </w:r>
      <w:r w:rsidR="008E3B59">
        <w:t xml:space="preserve">comparing </w:t>
      </w:r>
      <w:r w:rsidR="00750B66" w:rsidRPr="00123C91">
        <w:t>women and men</w:t>
      </w:r>
      <w:r w:rsidR="0081446E" w:rsidRPr="00123C91">
        <w:t>,</w:t>
      </w:r>
      <w:r w:rsidR="00DA7D61">
        <w:t xml:space="preserve"> decreasi</w:t>
      </w:r>
      <w:r w:rsidR="00750B66" w:rsidRPr="00123C91">
        <w:t xml:space="preserve">ng </w:t>
      </w:r>
      <w:r w:rsidR="0013209E">
        <w:t>reliance</w:t>
      </w:r>
      <w:r w:rsidR="00750B66" w:rsidRPr="00123C91">
        <w:t xml:space="preserve"> on gender dualism and hierarchy to frame and assess </w:t>
      </w:r>
      <w:r w:rsidR="008E3B59">
        <w:t>human rights abuses specific to women and making protective responses less likely</w:t>
      </w:r>
      <w:r w:rsidR="00750B66" w:rsidRPr="00123C91">
        <w:t xml:space="preserve">. </w:t>
      </w:r>
    </w:p>
    <w:p w:rsidR="00534205" w:rsidRDefault="00B501F2" w:rsidP="008D62C3">
      <w:pPr>
        <w:rPr>
          <w:lang w:val="en-CA"/>
        </w:rPr>
      </w:pPr>
      <w:r>
        <w:t xml:space="preserve">Taking </w:t>
      </w:r>
      <w:r w:rsidR="008E3B59">
        <w:t xml:space="preserve">gender mainstreaming </w:t>
      </w:r>
      <w:r w:rsidR="00012219">
        <w:t>a</w:t>
      </w:r>
      <w:r>
        <w:t xml:space="preserve"> step f</w:t>
      </w:r>
      <w:r w:rsidR="0081446E" w:rsidRPr="00123C91">
        <w:t xml:space="preserve">urther, the Committee on Economic, Social and Cultural Rights, which monitors implementation of </w:t>
      </w:r>
      <w:r w:rsidR="001B50C3" w:rsidRPr="00123C91">
        <w:t xml:space="preserve">the </w:t>
      </w:r>
      <w:r w:rsidR="0081446E" w:rsidRPr="0013209E">
        <w:rPr>
          <w:i/>
        </w:rPr>
        <w:t>I</w:t>
      </w:r>
      <w:r w:rsidR="0013209E" w:rsidRPr="0013209E">
        <w:rPr>
          <w:i/>
        </w:rPr>
        <w:t>nternational Covenant on Economic, Social and Cultural Rights</w:t>
      </w:r>
      <w:r w:rsidR="0013209E">
        <w:t xml:space="preserve"> (I</w:t>
      </w:r>
      <w:r w:rsidR="0081446E" w:rsidRPr="00123C91">
        <w:t>CESCR</w:t>
      </w:r>
      <w:r w:rsidR="0013209E">
        <w:t>)</w:t>
      </w:r>
      <w:r w:rsidR="0081446E" w:rsidRPr="00123C91">
        <w:t>,</w:t>
      </w:r>
      <w:r w:rsidR="0013209E">
        <w:rPr>
          <w:rStyle w:val="FootnoteReference"/>
          <w:bCs/>
        </w:rPr>
        <w:footnoteReference w:id="34"/>
      </w:r>
      <w:r w:rsidR="0081446E" w:rsidRPr="00123C91">
        <w:t xml:space="preserve"> </w:t>
      </w:r>
      <w:r w:rsidR="0013209E">
        <w:t xml:space="preserve">recognizes </w:t>
      </w:r>
      <w:r w:rsidR="001B50C3" w:rsidRPr="00123C91">
        <w:rPr>
          <w:spacing w:val="-2"/>
        </w:rPr>
        <w:t xml:space="preserve">men, as well as women, </w:t>
      </w:r>
      <w:r w:rsidR="0013316F">
        <w:rPr>
          <w:spacing w:val="-2"/>
        </w:rPr>
        <w:t>as potential victims of</w:t>
      </w:r>
      <w:r w:rsidR="001B50C3" w:rsidRPr="00123C91">
        <w:rPr>
          <w:spacing w:val="-2"/>
        </w:rPr>
        <w:t xml:space="preserve"> sex discrimination by, for example, interpreting the right to social security to </w:t>
      </w:r>
      <w:r w:rsidR="001B50C3" w:rsidRPr="00123C91">
        <w:t>guarantee ‘adequate maternity leave for women, paternity leave for men, and parental leave for both men and women’.</w:t>
      </w:r>
      <w:r w:rsidR="001B50C3" w:rsidRPr="00123C91">
        <w:rPr>
          <w:rStyle w:val="FootnoteReference"/>
          <w:bCs/>
        </w:rPr>
        <w:footnoteReference w:id="35"/>
      </w:r>
      <w:r w:rsidR="008E3B59">
        <w:rPr>
          <w:spacing w:val="-2"/>
        </w:rPr>
        <w:t xml:space="preserve"> More boldly</w:t>
      </w:r>
      <w:r w:rsidR="0013209E">
        <w:rPr>
          <w:spacing w:val="-2"/>
        </w:rPr>
        <w:t>,</w:t>
      </w:r>
      <w:r w:rsidR="001B50C3" w:rsidRPr="00123C91">
        <w:rPr>
          <w:spacing w:val="-2"/>
        </w:rPr>
        <w:t xml:space="preserve"> the Committee that monitors implementation of the </w:t>
      </w:r>
      <w:r w:rsidR="001B50C3" w:rsidRPr="00123C91">
        <w:rPr>
          <w:i/>
          <w:spacing w:val="-2"/>
        </w:rPr>
        <w:t xml:space="preserve">Convention Against Torture and Other Cruel, Inhuman and Degrading Treatment or Punishment </w:t>
      </w:r>
      <w:r w:rsidR="001B50C3" w:rsidRPr="00123C91">
        <w:rPr>
          <w:spacing w:val="-2"/>
        </w:rPr>
        <w:t>(CAT)</w:t>
      </w:r>
      <w:r w:rsidR="003347BD">
        <w:rPr>
          <w:rStyle w:val="FootnoteReference"/>
          <w:spacing w:val="-2"/>
        </w:rPr>
        <w:footnoteReference w:id="36"/>
      </w:r>
      <w:r w:rsidR="00123C91" w:rsidRPr="00123C91">
        <w:rPr>
          <w:spacing w:val="-2"/>
        </w:rPr>
        <w:t xml:space="preserve"> recognizes </w:t>
      </w:r>
      <w:r w:rsidR="00123C91" w:rsidRPr="00123C91">
        <w:t xml:space="preserve">gender as ‘a key factor’ that can intersect with </w:t>
      </w:r>
      <w:r w:rsidR="00123C91" w:rsidRPr="00123C91">
        <w:lastRenderedPageBreak/>
        <w:t>other characteristics of a person to make them more vulnerable to torture or ill-treatment,</w:t>
      </w:r>
      <w:bookmarkStart w:id="9" w:name="_Ref423706499"/>
      <w:r w:rsidR="00123C91" w:rsidRPr="00123C91">
        <w:rPr>
          <w:vertAlign w:val="superscript"/>
        </w:rPr>
        <w:footnoteReference w:id="37"/>
      </w:r>
      <w:bookmarkEnd w:id="9"/>
      <w:r w:rsidR="00123C91" w:rsidRPr="00123C91">
        <w:t xml:space="preserve"> and goes on to identify violations that are experienced solely or primarily by men</w:t>
      </w:r>
      <w:r w:rsidR="00FC447F">
        <w:t>,</w:t>
      </w:r>
      <w:r w:rsidR="00123C91" w:rsidRPr="00123C91">
        <w:t xml:space="preserve"> and transgendered people, as well as by women, ‘on the basis of their actual or perceived non-conformity with socially determined gender roles’.</w:t>
      </w:r>
      <w:r w:rsidR="00123C91" w:rsidRPr="00123C91">
        <w:rPr>
          <w:rStyle w:val="FootnoteReference"/>
        </w:rPr>
        <w:footnoteReference w:id="38"/>
      </w:r>
      <w:r w:rsidR="00123C91" w:rsidRPr="00123C91">
        <w:t xml:space="preserve"> The</w:t>
      </w:r>
      <w:r w:rsidR="0044295A" w:rsidRPr="00123C91">
        <w:t>s</w:t>
      </w:r>
      <w:r w:rsidR="00123C91" w:rsidRPr="00123C91">
        <w:t>e</w:t>
      </w:r>
      <w:r w:rsidR="00750B66" w:rsidRPr="00123C91">
        <w:t xml:space="preserve"> development</w:t>
      </w:r>
      <w:r w:rsidR="00123C91" w:rsidRPr="00123C91">
        <w:t>s</w:t>
      </w:r>
      <w:r w:rsidR="0044295A" w:rsidRPr="00123C91">
        <w:t xml:space="preserve"> vastly </w:t>
      </w:r>
      <w:r w:rsidR="00123C91" w:rsidRPr="00123C91">
        <w:t>extend</w:t>
      </w:r>
      <w:r w:rsidR="003849B1" w:rsidRPr="00123C91">
        <w:t xml:space="preserve"> </w:t>
      </w:r>
      <w:r w:rsidR="0044295A" w:rsidRPr="00123C91">
        <w:t xml:space="preserve">our capacity to challenge the </w:t>
      </w:r>
      <w:r w:rsidR="00FC447F">
        <w:t xml:space="preserve">social practices </w:t>
      </w:r>
      <w:r w:rsidR="00750B66" w:rsidRPr="00123C91">
        <w:rPr>
          <w:lang w:val="en-CA"/>
        </w:rPr>
        <w:t xml:space="preserve">of </w:t>
      </w:r>
      <w:r w:rsidR="00123C91" w:rsidRPr="00123C91">
        <w:rPr>
          <w:lang w:val="en-CA"/>
        </w:rPr>
        <w:t xml:space="preserve">dualistic </w:t>
      </w:r>
      <w:r w:rsidR="00750B66" w:rsidRPr="00123C91">
        <w:rPr>
          <w:lang w:val="en-CA"/>
        </w:rPr>
        <w:t>gender</w:t>
      </w:r>
      <w:r w:rsidR="00982CF2" w:rsidRPr="00123C91">
        <w:rPr>
          <w:lang w:val="en-CA"/>
        </w:rPr>
        <w:t>,</w:t>
      </w:r>
      <w:r w:rsidR="00750B66" w:rsidRPr="00123C91">
        <w:rPr>
          <w:lang w:val="en-CA"/>
        </w:rPr>
        <w:t xml:space="preserve"> </w:t>
      </w:r>
      <w:r w:rsidR="00FC447F">
        <w:rPr>
          <w:lang w:val="en-CA"/>
        </w:rPr>
        <w:t xml:space="preserve">although the (bio)logic of m/f , </w:t>
      </w:r>
      <w:r w:rsidR="003849B1" w:rsidRPr="00123C91">
        <w:rPr>
          <w:lang w:val="en-CA"/>
        </w:rPr>
        <w:t>which</w:t>
      </w:r>
      <w:r w:rsidR="00EF5E67" w:rsidRPr="00123C91">
        <w:rPr>
          <w:lang w:val="en-CA"/>
        </w:rPr>
        <w:t xml:space="preserve"> ha</w:t>
      </w:r>
      <w:r w:rsidR="00750B66" w:rsidRPr="00123C91">
        <w:rPr>
          <w:lang w:val="en-CA"/>
        </w:rPr>
        <w:t>s</w:t>
      </w:r>
      <w:r w:rsidR="00EF5E67" w:rsidRPr="00123C91">
        <w:rPr>
          <w:lang w:val="en-CA"/>
        </w:rPr>
        <w:t xml:space="preserve"> such a firm historical grip on the international legal imagination</w:t>
      </w:r>
      <w:r w:rsidR="003C0E09">
        <w:rPr>
          <w:lang w:val="en-CA"/>
        </w:rPr>
        <w:t>, has not</w:t>
      </w:r>
      <w:r w:rsidR="00FC447F">
        <w:rPr>
          <w:lang w:val="en-CA"/>
        </w:rPr>
        <w:t xml:space="preserve"> yet</w:t>
      </w:r>
      <w:r w:rsidR="003C0E09">
        <w:rPr>
          <w:lang w:val="en-CA"/>
        </w:rPr>
        <w:t xml:space="preserve"> been </w:t>
      </w:r>
      <w:r w:rsidR="00FC447F">
        <w:rPr>
          <w:lang w:val="en-CA"/>
        </w:rPr>
        <w:t xml:space="preserve">explicitly </w:t>
      </w:r>
      <w:r w:rsidR="003C0E09">
        <w:rPr>
          <w:lang w:val="en-CA"/>
        </w:rPr>
        <w:t>challenged</w:t>
      </w:r>
      <w:r w:rsidR="00EF5E67" w:rsidRPr="00123C91">
        <w:rPr>
          <w:lang w:val="en-CA"/>
        </w:rPr>
        <w:t xml:space="preserve">. </w:t>
      </w:r>
      <w:r w:rsidR="007A3915">
        <w:rPr>
          <w:lang w:val="en-CA"/>
        </w:rPr>
        <w:t xml:space="preserve">The </w:t>
      </w:r>
      <w:r w:rsidR="00DA7D61">
        <w:rPr>
          <w:lang w:val="en-CA"/>
        </w:rPr>
        <w:t xml:space="preserve">shift </w:t>
      </w:r>
      <w:r w:rsidR="007255A2">
        <w:rPr>
          <w:lang w:val="en-CA"/>
        </w:rPr>
        <w:t>can be</w:t>
      </w:r>
      <w:r w:rsidR="007A3915">
        <w:rPr>
          <w:lang w:val="en-CA"/>
        </w:rPr>
        <w:t xml:space="preserve"> illustrated as follows:</w:t>
      </w:r>
    </w:p>
    <w:p w:rsidR="003C0E09" w:rsidRPr="003C0E09" w:rsidRDefault="006E1812" w:rsidP="008D62C3">
      <w:r>
        <w:rPr>
          <w:noProof/>
          <w:lang w:val="en-AU" w:eastAsia="en-AU"/>
        </w:rPr>
        <mc:AlternateContent>
          <mc:Choice Requires="wps">
            <w:drawing>
              <wp:anchor distT="0" distB="0" distL="114300" distR="114300" simplePos="0" relativeHeight="251668480" behindDoc="0" locked="0" layoutInCell="1" allowOverlap="1">
                <wp:simplePos x="0" y="0"/>
                <wp:positionH relativeFrom="column">
                  <wp:posOffset>819150</wp:posOffset>
                </wp:positionH>
                <wp:positionV relativeFrom="paragraph">
                  <wp:posOffset>-36830</wp:posOffset>
                </wp:positionV>
                <wp:extent cx="4086225" cy="892810"/>
                <wp:effectExtent l="0" t="0" r="28575" b="21590"/>
                <wp:wrapNone/>
                <wp:docPr id="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6225" cy="892810"/>
                        </a:xfrm>
                        <a:prstGeom prst="rect">
                          <a:avLst/>
                        </a:prstGeom>
                        <a:solidFill>
                          <a:srgbClr val="FFFFFF"/>
                        </a:solidFill>
                        <a:ln w="9525">
                          <a:solidFill>
                            <a:srgbClr val="000000"/>
                          </a:solidFill>
                          <a:miter lim="800000"/>
                          <a:headEnd/>
                          <a:tailEnd/>
                        </a:ln>
                      </wps:spPr>
                      <wps:txbx>
                        <w:txbxContent>
                          <w:p w:rsidR="00EC2FCD" w:rsidRPr="007A3915" w:rsidRDefault="00EC2FCD" w:rsidP="00FC447F">
                            <w:pPr>
                              <w:spacing w:after="0" w:line="240" w:lineRule="auto"/>
                              <w:jc w:val="center"/>
                              <w:rPr>
                                <w:b/>
                              </w:rPr>
                            </w:pPr>
                            <w:r w:rsidRPr="007A3915">
                              <w:rPr>
                                <w:b/>
                              </w:rPr>
                              <w:t xml:space="preserve">International law’s ‘feminist’ approach to sex/gender: </w:t>
                            </w:r>
                            <w:r w:rsidRPr="001564F0">
                              <w:rPr>
                                <w:b/>
                                <w:i/>
                              </w:rPr>
                              <w:t>social contructivism acts upon biological base</w:t>
                            </w:r>
                            <w:r w:rsidRPr="007A3915">
                              <w:rPr>
                                <w:b/>
                              </w:rPr>
                              <w:t xml:space="preserve"> </w:t>
                            </w:r>
                          </w:p>
                          <w:p w:rsidR="00EC2FCD" w:rsidRDefault="00EC2FCD" w:rsidP="00FC447F">
                            <w:pPr>
                              <w:spacing w:after="0" w:line="240" w:lineRule="auto"/>
                              <w:jc w:val="center"/>
                            </w:pPr>
                            <w:r w:rsidRPr="006944FD">
                              <w:t>maintain m/f (duality)</w:t>
                            </w:r>
                            <w:r>
                              <w:t xml:space="preserve"> – nature</w:t>
                            </w:r>
                          </w:p>
                          <w:p w:rsidR="00EC2FCD" w:rsidRDefault="00EC2FCD" w:rsidP="00FC447F">
                            <w:pPr>
                              <w:spacing w:after="0" w:line="240" w:lineRule="auto"/>
                              <w:jc w:val="center"/>
                            </w:pPr>
                            <w:r>
                              <w:t>challenge m&gt;f (hiera</w:t>
                            </w:r>
                            <w:r w:rsidRPr="006944FD">
                              <w:t>rchy)</w:t>
                            </w:r>
                            <w:r>
                              <w:t xml:space="preserve"> – nurture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 o:spid="_x0000_s1027" type="#_x0000_t202" style="position:absolute;margin-left:64.5pt;margin-top:-2.9pt;width:321.75pt;height:70.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">
                <v:textbox>
                  <w:txbxContent>
                    <w:p w:rsidR="00EC2FCD" w:rsidRPr="007A3915" w:rsidRDefault="00EC2FCD" w:rsidP="00FC447F">
                      <w:pPr>
                        <w:spacing w:after="0" w:line="240" w:lineRule="auto"/>
                        <w:jc w:val="center"/>
                        <w:rPr>
                          <w:b/>
                        </w:rPr>
                      </w:pPr>
                      <w:r w:rsidRPr="007A3915">
                        <w:rPr>
                          <w:b/>
                        </w:rPr>
                        <w:t xml:space="preserve">International law’s ‘feminist’ approach to sex/gender: </w:t>
                      </w:r>
                      <w:r w:rsidRPr="001564F0">
                        <w:rPr>
                          <w:b/>
                          <w:i/>
                        </w:rPr>
                        <w:t>social contructivism acts upon biological base</w:t>
                      </w:r>
                      <w:r w:rsidRPr="007A3915">
                        <w:rPr>
                          <w:b/>
                        </w:rPr>
                        <w:t xml:space="preserve"> </w:t>
                      </w:r>
                    </w:p>
                    <w:p w:rsidR="00EC2FCD" w:rsidRDefault="00EC2FCD" w:rsidP="00FC447F">
                      <w:pPr>
                        <w:spacing w:after="0" w:line="240" w:lineRule="auto"/>
                        <w:jc w:val="center"/>
                      </w:pPr>
                      <w:r w:rsidRPr="006944FD">
                        <w:t>maintain m/f (duality)</w:t>
                      </w:r>
                      <w:r>
                        <w:t xml:space="preserve"> – nature</w:t>
                      </w:r>
                    </w:p>
                    <w:p w:rsidR="00EC2FCD" w:rsidRDefault="00EC2FCD" w:rsidP="00FC447F">
                      <w:pPr>
                        <w:spacing w:after="0" w:line="240" w:lineRule="auto"/>
                        <w:jc w:val="center"/>
                      </w:pPr>
                      <w:r>
                        <w:t>challenge m&gt;f (hiera</w:t>
                      </w:r>
                      <w:r w:rsidRPr="006944FD">
                        <w:t>rchy)</w:t>
                      </w:r>
                      <w:r>
                        <w:t xml:space="preserve"> – nurture</w:t>
                      </w:r>
                    </w:p>
                  </w:txbxContent>
                </v:textbox>
              </v:shape>
            </w:pict>
          </mc:Fallback>
        </mc:AlternateContent>
      </w:r>
    </w:p>
    <w:p w:rsidR="003C0E09" w:rsidRDefault="003C0E09" w:rsidP="008D62C3">
      <w:pPr>
        <w:pStyle w:val="ListParagraph"/>
      </w:pPr>
    </w:p>
    <w:p w:rsidR="003C0E09" w:rsidRDefault="003C0E09" w:rsidP="008D62C3">
      <w:pPr>
        <w:pStyle w:val="ListParagraph"/>
      </w:pPr>
    </w:p>
    <w:p w:rsidR="003C0E09" w:rsidRDefault="003C0E09" w:rsidP="008D62C3">
      <w:pPr>
        <w:pStyle w:val="ListParagraph"/>
      </w:pPr>
    </w:p>
    <w:p w:rsidR="00394571" w:rsidRPr="007A3915" w:rsidRDefault="00B71DE8" w:rsidP="007A3915">
      <w:pPr>
        <w:pStyle w:val="ListParagraph"/>
        <w:numPr>
          <w:ilvl w:val="0"/>
          <w:numId w:val="21"/>
        </w:numPr>
        <w:rPr>
          <w:b/>
        </w:rPr>
      </w:pPr>
      <w:r w:rsidRPr="007A3915">
        <w:rPr>
          <w:b/>
        </w:rPr>
        <w:t xml:space="preserve">Feminist Reluctance to Challenge Gender Duality </w:t>
      </w:r>
    </w:p>
    <w:p w:rsidR="00945552" w:rsidRPr="009C1663" w:rsidRDefault="00311B93" w:rsidP="008D62C3">
      <w:r w:rsidRPr="009C1663">
        <w:rPr>
          <w:lang w:val="en-CA"/>
        </w:rPr>
        <w:t xml:space="preserve">Yet </w:t>
      </w:r>
      <w:r w:rsidRPr="009C1663">
        <w:t xml:space="preserve">while these developments have been promoted and supported by feminists, there has also been a reluctance to pursue all the potential for rethinking gender that they open, for fear that this will undermine the feminist project. </w:t>
      </w:r>
      <w:r w:rsidR="00A90D18" w:rsidRPr="009C1663">
        <w:t xml:space="preserve">Many feminists </w:t>
      </w:r>
      <w:r w:rsidR="0013316F">
        <w:t xml:space="preserve">worry </w:t>
      </w:r>
      <w:r w:rsidR="00D42325" w:rsidRPr="00CE0D24">
        <w:t>that</w:t>
      </w:r>
      <w:r w:rsidR="00D42325">
        <w:t xml:space="preserve"> </w:t>
      </w:r>
      <w:r w:rsidR="00D42325" w:rsidRPr="00CE0D24">
        <w:t xml:space="preserve"> the coherence of the category of ‘women’ as an organizing focus</w:t>
      </w:r>
      <w:r w:rsidR="00D42325">
        <w:t xml:space="preserve"> will be threatened </w:t>
      </w:r>
      <w:r w:rsidR="006944FD">
        <w:t>if gender is understood as</w:t>
      </w:r>
      <w:r w:rsidR="00637E92">
        <w:t xml:space="preserve"> mobile and </w:t>
      </w:r>
      <w:r w:rsidR="006944FD">
        <w:t>plural</w:t>
      </w:r>
      <w:r w:rsidR="00E61974">
        <w:t xml:space="preserve">, </w:t>
      </w:r>
      <w:r w:rsidR="005D67D0">
        <w:t xml:space="preserve">and </w:t>
      </w:r>
      <w:r w:rsidR="00637E92">
        <w:t xml:space="preserve">especially if </w:t>
      </w:r>
      <w:r w:rsidR="005D67D0">
        <w:t>its biological anchor is questioned. They</w:t>
      </w:r>
      <w:r w:rsidR="00637E92">
        <w:t xml:space="preserve"> </w:t>
      </w:r>
      <w:r w:rsidR="003849B1" w:rsidRPr="009C1663">
        <w:t xml:space="preserve">are anxious </w:t>
      </w:r>
      <w:r w:rsidRPr="009C1663">
        <w:rPr>
          <w:lang w:val="en-CA"/>
        </w:rPr>
        <w:t xml:space="preserve">that women’s specific disadvantage may again be marginalized if gender discrimination experienced by men and other genders is </w:t>
      </w:r>
      <w:r w:rsidR="00817D11">
        <w:rPr>
          <w:lang w:val="en-CA"/>
        </w:rPr>
        <w:t>included in</w:t>
      </w:r>
      <w:r w:rsidRPr="009C1663">
        <w:rPr>
          <w:lang w:val="en-CA"/>
        </w:rPr>
        <w:t xml:space="preserve"> the </w:t>
      </w:r>
      <w:r w:rsidR="002040D2" w:rsidRPr="009C1663">
        <w:rPr>
          <w:lang w:val="en-CA"/>
        </w:rPr>
        <w:t>struggle for women’s rights</w:t>
      </w:r>
      <w:r w:rsidRPr="009C1663">
        <w:rPr>
          <w:lang w:val="en-CA"/>
        </w:rPr>
        <w:t>.</w:t>
      </w:r>
      <w:r w:rsidR="00D42325" w:rsidRPr="00CE0D24">
        <w:rPr>
          <w:rStyle w:val="FootnoteReference"/>
        </w:rPr>
        <w:footnoteReference w:id="39"/>
      </w:r>
      <w:r w:rsidR="00D42325" w:rsidRPr="00CE0D24">
        <w:t xml:space="preserve"> </w:t>
      </w:r>
      <w:r w:rsidR="00D42325">
        <w:t>O</w:t>
      </w:r>
      <w:r w:rsidR="00D42325" w:rsidRPr="00CE0D24">
        <w:t xml:space="preserve">thers </w:t>
      </w:r>
      <w:r w:rsidR="006944FD">
        <w:t>put this reluctance down to</w:t>
      </w:r>
      <w:r w:rsidR="005D67D0">
        <w:t xml:space="preserve"> the vestiges of biological determinism that continue to linger in feminist thinking,</w:t>
      </w:r>
      <w:r w:rsidR="00197090">
        <w:rPr>
          <w:rStyle w:val="FootnoteReference"/>
        </w:rPr>
        <w:footnoteReference w:id="40"/>
      </w:r>
      <w:r w:rsidR="005D67D0">
        <w:t xml:space="preserve"> or to</w:t>
      </w:r>
      <w:r w:rsidR="006944FD">
        <w:t xml:space="preserve"> </w:t>
      </w:r>
      <w:r w:rsidR="003849B1" w:rsidRPr="009C1663">
        <w:rPr>
          <w:lang w:val="en-CA"/>
        </w:rPr>
        <w:t xml:space="preserve">homophobia and trans-phobia, </w:t>
      </w:r>
      <w:r w:rsidR="006944FD">
        <w:rPr>
          <w:lang w:val="en-CA"/>
        </w:rPr>
        <w:t xml:space="preserve">and the associated </w:t>
      </w:r>
      <w:r w:rsidR="006944FD">
        <w:t>fear</w:t>
      </w:r>
      <w:r w:rsidR="003849B1" w:rsidRPr="009C1663">
        <w:t xml:space="preserve"> that </w:t>
      </w:r>
      <w:r w:rsidR="00290F54">
        <w:t xml:space="preserve">expanding </w:t>
      </w:r>
      <w:r w:rsidR="00290F54" w:rsidRPr="00CE0D24">
        <w:t>feminist demands to include those whose gender expression falls outside the m/f dualism</w:t>
      </w:r>
      <w:r w:rsidR="00290F54" w:rsidRPr="009C1663">
        <w:t xml:space="preserve"> </w:t>
      </w:r>
      <w:r w:rsidR="00943B47">
        <w:t xml:space="preserve">and heteronormativity </w:t>
      </w:r>
      <w:r w:rsidR="003849B1" w:rsidRPr="009C1663">
        <w:t xml:space="preserve">might threaten the fragile </w:t>
      </w:r>
      <w:r w:rsidR="003849B1" w:rsidRPr="009C1663">
        <w:lastRenderedPageBreak/>
        <w:t>‘respectability’ of feminism, and limit its effectiveness.</w:t>
      </w:r>
      <w:r w:rsidR="00D42325" w:rsidRPr="00CE0D24">
        <w:rPr>
          <w:rStyle w:val="FootnoteReference"/>
          <w:bCs/>
        </w:rPr>
        <w:footnoteReference w:id="41"/>
      </w:r>
      <w:r w:rsidR="00D42325" w:rsidRPr="00CE0D24">
        <w:t xml:space="preserve"> </w:t>
      </w:r>
      <w:r w:rsidR="003849B1" w:rsidRPr="009C1663">
        <w:t xml:space="preserve"> </w:t>
      </w:r>
      <w:r w:rsidR="002040D2" w:rsidRPr="009C1663">
        <w:rPr>
          <w:lang w:val="en-CA"/>
        </w:rPr>
        <w:t>As a result,</w:t>
      </w:r>
      <w:r w:rsidR="007A2797">
        <w:rPr>
          <w:lang w:val="en-CA"/>
        </w:rPr>
        <w:t xml:space="preserve"> </w:t>
      </w:r>
      <w:r w:rsidR="005D67D0">
        <w:rPr>
          <w:lang w:val="en-CA"/>
        </w:rPr>
        <w:t xml:space="preserve">most </w:t>
      </w:r>
      <w:r w:rsidR="007A2797" w:rsidRPr="009C1663">
        <w:t>feminist</w:t>
      </w:r>
      <w:r w:rsidR="008C23CA" w:rsidRPr="009C1663">
        <w:t xml:space="preserve"> </w:t>
      </w:r>
      <w:r w:rsidR="006944FD">
        <w:t xml:space="preserve">efforts </w:t>
      </w:r>
      <w:r w:rsidRPr="009C1663">
        <w:t>ha</w:t>
      </w:r>
      <w:r w:rsidR="006944FD">
        <w:t>ve been limited to</w:t>
      </w:r>
      <w:r w:rsidR="007A2797">
        <w:t xml:space="preserve"> </w:t>
      </w:r>
      <w:r w:rsidR="00197090">
        <w:t xml:space="preserve">emphasizing the social contingency of </w:t>
      </w:r>
      <w:r w:rsidR="003849B1" w:rsidRPr="009C1663">
        <w:t>gender hierarchy</w:t>
      </w:r>
      <w:r w:rsidR="005D67D0">
        <w:t xml:space="preserve">, without questioning </w:t>
      </w:r>
      <w:r w:rsidR="004A0440">
        <w:t xml:space="preserve">the </w:t>
      </w:r>
      <w:r w:rsidR="00197090">
        <w:t xml:space="preserve">assumed </w:t>
      </w:r>
      <w:r w:rsidR="004A0440">
        <w:t xml:space="preserve">biological base of </w:t>
      </w:r>
      <w:r w:rsidR="005D67D0">
        <w:t>gender dualism. Even within the confines of the social</w:t>
      </w:r>
      <w:r w:rsidR="00197090">
        <w:t>, so understood</w:t>
      </w:r>
      <w:r w:rsidR="005D67D0">
        <w:t xml:space="preserve">, </w:t>
      </w:r>
      <w:r w:rsidR="004A0440">
        <w:t>feminist</w:t>
      </w:r>
      <w:r w:rsidR="00817D11">
        <w:t xml:space="preserve"> efforts have</w:t>
      </w:r>
      <w:r w:rsidR="008C23CA" w:rsidRPr="009C1663">
        <w:t xml:space="preserve"> </w:t>
      </w:r>
      <w:r w:rsidR="00603F4A" w:rsidRPr="009C1663">
        <w:t xml:space="preserve">seldom </w:t>
      </w:r>
      <w:r w:rsidR="008C23CA" w:rsidRPr="009C1663">
        <w:t>extend</w:t>
      </w:r>
      <w:r w:rsidRPr="009C1663">
        <w:t>ed</w:t>
      </w:r>
      <w:r w:rsidR="008C23CA" w:rsidRPr="009C1663">
        <w:t xml:space="preserve"> to </w:t>
      </w:r>
      <w:r w:rsidR="00290F54">
        <w:t xml:space="preserve">conceiving of </w:t>
      </w:r>
      <w:r w:rsidR="008C23CA" w:rsidRPr="009C1663">
        <w:t xml:space="preserve">gender as </w:t>
      </w:r>
      <w:r w:rsidR="00290F54">
        <w:t xml:space="preserve">shifting </w:t>
      </w:r>
      <w:r w:rsidR="008C23CA" w:rsidRPr="009C1663">
        <w:t xml:space="preserve">and multiple. </w:t>
      </w:r>
      <w:r w:rsidR="00945552" w:rsidRPr="009C1663">
        <w:t xml:space="preserve">While this failure to fully </w:t>
      </w:r>
      <w:r w:rsidR="002040D2" w:rsidRPr="009C1663">
        <w:t xml:space="preserve">exploit </w:t>
      </w:r>
      <w:r w:rsidR="00945552" w:rsidRPr="009C1663">
        <w:t xml:space="preserve">the </w:t>
      </w:r>
      <w:r w:rsidR="00290F54">
        <w:t xml:space="preserve">liberatory </w:t>
      </w:r>
      <w:r w:rsidR="007A2797">
        <w:t xml:space="preserve">potential of the language of </w:t>
      </w:r>
      <w:r w:rsidR="00945552" w:rsidRPr="009C1663">
        <w:t xml:space="preserve">gender may in some contexts be </w:t>
      </w:r>
      <w:r w:rsidR="00A674DF">
        <w:t xml:space="preserve">pragmatically </w:t>
      </w:r>
      <w:r w:rsidR="00945552" w:rsidRPr="009C1663">
        <w:t>defensible</w:t>
      </w:r>
      <w:r w:rsidR="00B37A20">
        <w:t>,</w:t>
      </w:r>
      <w:bookmarkStart w:id="10" w:name="_Ref431569180"/>
      <w:r w:rsidR="00A674DF">
        <w:rPr>
          <w:rStyle w:val="FootnoteReference"/>
        </w:rPr>
        <w:footnoteReference w:id="42"/>
      </w:r>
      <w:bookmarkEnd w:id="10"/>
      <w:r w:rsidR="00B37A20">
        <w:t xml:space="preserve"> at least</w:t>
      </w:r>
      <w:r w:rsidR="00E32C3F">
        <w:t xml:space="preserve"> as a short-term measure</w:t>
      </w:r>
      <w:r w:rsidR="0092531D">
        <w:t>, it</w:t>
      </w:r>
      <w:r w:rsidR="00945552" w:rsidRPr="009C1663">
        <w:t xml:space="preserve"> has had enduring effects and resulted in a rift between </w:t>
      </w:r>
      <w:r w:rsidR="00817D11">
        <w:t xml:space="preserve">much </w:t>
      </w:r>
      <w:r w:rsidR="00945552" w:rsidRPr="009C1663">
        <w:t>feminist and queer work on gender in the law</w:t>
      </w:r>
      <w:r w:rsidR="007A2797">
        <w:t>,</w:t>
      </w:r>
      <w:r w:rsidR="00290F54">
        <w:rPr>
          <w:rStyle w:val="FootnoteReference"/>
        </w:rPr>
        <w:footnoteReference w:id="43"/>
      </w:r>
      <w:r w:rsidR="007A2797">
        <w:t xml:space="preserve"> </w:t>
      </w:r>
      <w:r w:rsidR="00E32C3F">
        <w:t xml:space="preserve">especially </w:t>
      </w:r>
      <w:r w:rsidR="007A2797">
        <w:t>wh</w:t>
      </w:r>
      <w:r w:rsidR="00290F54">
        <w:t xml:space="preserve">en the latter </w:t>
      </w:r>
      <w:r w:rsidR="007A2797">
        <w:t>seeks to challenge the assumption of m/f duality</w:t>
      </w:r>
      <w:r w:rsidR="00945552" w:rsidRPr="009C1663">
        <w:t>.</w:t>
      </w:r>
    </w:p>
    <w:p w:rsidR="00E644D4" w:rsidRPr="009C1663" w:rsidRDefault="0044295A" w:rsidP="008D62C3">
      <w:pPr>
        <w:rPr>
          <w:lang w:val="en-CA"/>
        </w:rPr>
      </w:pPr>
      <w:r>
        <w:t xml:space="preserve">In </w:t>
      </w:r>
      <w:r w:rsidR="00021F85">
        <w:t xml:space="preserve">questioning the </w:t>
      </w:r>
      <w:r w:rsidR="004A0440">
        <w:t xml:space="preserve">natural foundation </w:t>
      </w:r>
      <w:r w:rsidR="00021F85">
        <w:t>of</w:t>
      </w:r>
      <w:r>
        <w:t xml:space="preserve"> </w:t>
      </w:r>
      <w:r w:rsidR="004A0440">
        <w:t xml:space="preserve">both </w:t>
      </w:r>
      <w:r w:rsidR="00945552" w:rsidRPr="009C1663">
        <w:t>gender dualism and</w:t>
      </w:r>
      <w:r w:rsidR="00021F85">
        <w:t xml:space="preserve"> </w:t>
      </w:r>
      <w:r w:rsidR="00DA7D61">
        <w:t xml:space="preserve">gender </w:t>
      </w:r>
      <w:r w:rsidR="00021F85">
        <w:t>hierarchy</w:t>
      </w:r>
      <w:r w:rsidR="00945552" w:rsidRPr="009C1663">
        <w:t xml:space="preserve">, </w:t>
      </w:r>
      <w:r>
        <w:t>I do</w:t>
      </w:r>
      <w:r w:rsidR="00945552" w:rsidRPr="009C1663">
        <w:t xml:space="preserve"> not </w:t>
      </w:r>
      <w:r>
        <w:t xml:space="preserve">want to deny the patterns of gender disadvantage that </w:t>
      </w:r>
      <w:r w:rsidR="00E32C3F">
        <w:t xml:space="preserve">impact on </w:t>
      </w:r>
      <w:r w:rsidR="00337BBE">
        <w:t>every woma</w:t>
      </w:r>
      <w:r>
        <w:t>n’s life</w:t>
      </w:r>
      <w:r w:rsidR="007E204D">
        <w:t xml:space="preserve">, although </w:t>
      </w:r>
      <w:r w:rsidR="00197090">
        <w:t xml:space="preserve">the picture is vastly complicated by </w:t>
      </w:r>
      <w:r w:rsidR="007E204D">
        <w:t xml:space="preserve">the many differences among women </w:t>
      </w:r>
      <w:r w:rsidR="004A0440">
        <w:t>because of</w:t>
      </w:r>
      <w:r w:rsidR="007E204D">
        <w:t xml:space="preserve"> intersecting systems of discrimination</w:t>
      </w:r>
      <w:r>
        <w:t xml:space="preserve">. </w:t>
      </w:r>
      <w:r w:rsidR="00945552" w:rsidRPr="009C1663">
        <w:t xml:space="preserve">Rather, the question that weighs increasingly heavily is whether dualism and asymmetry provide the </w:t>
      </w:r>
      <w:r w:rsidR="00945552" w:rsidRPr="009C1663">
        <w:rPr>
          <w:i/>
        </w:rPr>
        <w:t>best</w:t>
      </w:r>
      <w:r w:rsidR="00945552" w:rsidRPr="009C1663">
        <w:t xml:space="preserve"> way to pursue the emancipatory possibilities for everyone, including </w:t>
      </w:r>
      <w:r w:rsidR="00021F85">
        <w:t>cis</w:t>
      </w:r>
      <w:r w:rsidR="00945552" w:rsidRPr="009C1663">
        <w:t xml:space="preserve">women, </w:t>
      </w:r>
      <w:r w:rsidR="00E32C3F">
        <w:t xml:space="preserve">that are </w:t>
      </w:r>
      <w:r w:rsidR="00945552" w:rsidRPr="009C1663">
        <w:t xml:space="preserve">opened up by the recognition that gender is primarily (if not entirely) a </w:t>
      </w:r>
      <w:r w:rsidR="004A0440">
        <w:t xml:space="preserve">social </w:t>
      </w:r>
      <w:r w:rsidR="00945552" w:rsidRPr="009C1663">
        <w:t xml:space="preserve">category. One problem is that such a relentlessly dualistic understanding of </w:t>
      </w:r>
      <w:r w:rsidR="004A0440">
        <w:t>sex/</w:t>
      </w:r>
      <w:r w:rsidR="00945552" w:rsidRPr="009C1663">
        <w:t>gender is so easily recolonized by naturalized accounts of biological sex</w:t>
      </w:r>
      <w:r w:rsidR="00C17B1D">
        <w:t xml:space="preserve"> which completely fail</w:t>
      </w:r>
      <w:r w:rsidR="0092531D">
        <w:t xml:space="preserve"> to </w:t>
      </w:r>
      <w:r w:rsidR="005D58C8">
        <w:t>acknowledge</w:t>
      </w:r>
      <w:r w:rsidR="00C17B1D">
        <w:t xml:space="preserve"> the</w:t>
      </w:r>
      <w:r w:rsidR="0092531D">
        <w:t xml:space="preserve"> </w:t>
      </w:r>
      <w:r w:rsidR="00B37A20">
        <w:t xml:space="preserve">dynamic </w:t>
      </w:r>
      <w:r w:rsidR="004A0440">
        <w:t>and interwoven</w:t>
      </w:r>
      <w:r w:rsidR="00C2289B">
        <w:t xml:space="preserve"> performative</w:t>
      </w:r>
      <w:r w:rsidR="004A0440">
        <w:t xml:space="preserve"> </w:t>
      </w:r>
      <w:r w:rsidR="00B37A20">
        <w:t>relationship</w:t>
      </w:r>
      <w:r w:rsidR="00C2289B">
        <w:t>s</w:t>
      </w:r>
      <w:r w:rsidR="00B37A20">
        <w:t xml:space="preserve"> between </w:t>
      </w:r>
      <w:r w:rsidR="0092531D">
        <w:t>sexed bodies</w:t>
      </w:r>
      <w:r w:rsidR="00B37A20">
        <w:t xml:space="preserve"> and identities</w:t>
      </w:r>
      <w:r w:rsidR="00945552" w:rsidRPr="009C1663">
        <w:t xml:space="preserve">. Another is that the asymmetrical reproduction of injured and vulnerable representations of women casts men </w:t>
      </w:r>
      <w:r w:rsidR="000B2F0F">
        <w:t>in the role of</w:t>
      </w:r>
      <w:r w:rsidR="00FA337C">
        <w:t xml:space="preserve"> perpetrators or </w:t>
      </w:r>
      <w:r w:rsidR="00945552" w:rsidRPr="009C1663">
        <w:t xml:space="preserve">protectors, </w:t>
      </w:r>
      <w:r w:rsidR="004A0440">
        <w:t>which</w:t>
      </w:r>
      <w:r w:rsidR="00337BBE">
        <w:t xml:space="preserve"> </w:t>
      </w:r>
      <w:r w:rsidR="000B2F0F">
        <w:t>reconstitut</w:t>
      </w:r>
      <w:r w:rsidR="004A0440">
        <w:t>es</w:t>
      </w:r>
      <w:r w:rsidR="000B2F0F">
        <w:t xml:space="preserve"> </w:t>
      </w:r>
      <w:r w:rsidR="005D58C8">
        <w:t xml:space="preserve">the </w:t>
      </w:r>
      <w:r w:rsidR="000B2F0F">
        <w:t xml:space="preserve">traditional </w:t>
      </w:r>
      <w:r w:rsidR="00197090">
        <w:t xml:space="preserve">imaginary of </w:t>
      </w:r>
      <w:r w:rsidR="00832F39">
        <w:t xml:space="preserve">m&gt;f </w:t>
      </w:r>
      <w:r w:rsidR="00197090">
        <w:t xml:space="preserve">gender </w:t>
      </w:r>
      <w:r w:rsidR="000B2F0F">
        <w:t>hierarchies</w:t>
      </w:r>
      <w:r w:rsidR="00945552" w:rsidRPr="009C1663">
        <w:t>.</w:t>
      </w:r>
      <w:r w:rsidR="00E32C3F">
        <w:rPr>
          <w:rStyle w:val="FootnoteReference"/>
        </w:rPr>
        <w:footnoteReference w:id="44"/>
      </w:r>
      <w:r w:rsidR="00945552" w:rsidRPr="009C1663">
        <w:t xml:space="preserve"> A third problem is the exclusion</w:t>
      </w:r>
      <w:r w:rsidR="00337BBE">
        <w:t xml:space="preserve">ary </w:t>
      </w:r>
      <w:r w:rsidR="00933BA4">
        <w:t xml:space="preserve">and disciplinary </w:t>
      </w:r>
      <w:r w:rsidR="00933BA4">
        <w:lastRenderedPageBreak/>
        <w:t xml:space="preserve">effect </w:t>
      </w:r>
      <w:r w:rsidR="00337BBE">
        <w:t xml:space="preserve">of understanding </w:t>
      </w:r>
      <w:r w:rsidR="005D58C8">
        <w:t>sex/</w:t>
      </w:r>
      <w:r w:rsidR="00945552" w:rsidRPr="009C1663">
        <w:t>gender</w:t>
      </w:r>
      <w:r w:rsidR="005D58C8">
        <w:t xml:space="preserve"> as always tied to a biological base</w:t>
      </w:r>
      <w:r w:rsidR="00945552" w:rsidRPr="009C1663">
        <w:t>, which prevents a full un</w:t>
      </w:r>
      <w:r w:rsidR="00337BBE">
        <w:t xml:space="preserve">derstanding of the way that </w:t>
      </w:r>
      <w:r w:rsidR="004A0440">
        <w:t>sex/</w:t>
      </w:r>
      <w:r w:rsidR="00945552" w:rsidRPr="009C1663">
        <w:t xml:space="preserve">gender operates as a </w:t>
      </w:r>
      <w:r w:rsidR="00EB79A8" w:rsidRPr="00EB79A8">
        <w:t>technology of power, regulating populations so they are more compliant and easily governable</w:t>
      </w:r>
      <w:r w:rsidR="000B2F0F">
        <w:t>.</w:t>
      </w:r>
      <w:r w:rsidR="000B2F0F">
        <w:rPr>
          <w:rStyle w:val="FootnoteReference"/>
        </w:rPr>
        <w:footnoteReference w:id="45"/>
      </w:r>
    </w:p>
    <w:p w:rsidR="00EC2FCD" w:rsidRDefault="00E644D4">
      <w:r w:rsidRPr="009C1663">
        <w:t xml:space="preserve">This feminist reluctance is evident in the </w:t>
      </w:r>
      <w:r w:rsidR="005D58C8">
        <w:t>unwillingness</w:t>
      </w:r>
      <w:r w:rsidRPr="009C1663">
        <w:t xml:space="preserve"> of the CEDAW Committee to address discrimination on the basis of gender identity</w:t>
      </w:r>
      <w:r w:rsidR="005D58C8">
        <w:t xml:space="preserve"> as a form of discrimination against women.</w:t>
      </w:r>
      <w:r w:rsidR="00BB3A5C">
        <w:t xml:space="preserve"> </w:t>
      </w:r>
      <w:r w:rsidR="005D58C8">
        <w:t>O</w:t>
      </w:r>
      <w:r w:rsidR="00BB3A5C">
        <w:t xml:space="preserve">n the few occasions </w:t>
      </w:r>
      <w:r w:rsidR="00B37A20">
        <w:t xml:space="preserve">that </w:t>
      </w:r>
      <w:r w:rsidR="00BB3A5C">
        <w:t xml:space="preserve">the </w:t>
      </w:r>
      <w:r w:rsidR="005D58C8">
        <w:t xml:space="preserve">Committee has used the </w:t>
      </w:r>
      <w:r w:rsidR="00BB3A5C">
        <w:t xml:space="preserve">term, </w:t>
      </w:r>
      <w:r w:rsidR="005D58C8">
        <w:t xml:space="preserve">it </w:t>
      </w:r>
      <w:r w:rsidR="00BB3A5C">
        <w:t xml:space="preserve">has mostly </w:t>
      </w:r>
      <w:r w:rsidR="005D58C8">
        <w:t xml:space="preserve">been </w:t>
      </w:r>
      <w:r w:rsidR="00FC0E9B">
        <w:t>coupled</w:t>
      </w:r>
      <w:r w:rsidR="00BB3A5C">
        <w:t xml:space="preserve">, and </w:t>
      </w:r>
      <w:r w:rsidR="00C2289B">
        <w:t>often</w:t>
      </w:r>
      <w:r w:rsidR="00B37A20">
        <w:t xml:space="preserve"> </w:t>
      </w:r>
      <w:r w:rsidR="00BB3A5C">
        <w:t xml:space="preserve">conflated, </w:t>
      </w:r>
      <w:r w:rsidR="00FC0E9B">
        <w:t>with sexual orientation</w:t>
      </w:r>
      <w:r w:rsidRPr="009C1663">
        <w:t xml:space="preserve">. </w:t>
      </w:r>
      <w:r w:rsidR="00C17B1D">
        <w:t>An examination of 181</w:t>
      </w:r>
      <w:r w:rsidR="0035615C" w:rsidRPr="009C1663">
        <w:t xml:space="preserve"> Concluding O</w:t>
      </w:r>
      <w:r w:rsidRPr="009C1663">
        <w:t xml:space="preserve">bservations adopted between 2007 </w:t>
      </w:r>
      <w:r w:rsidR="00FD6902" w:rsidRPr="009C1663">
        <w:t>(when the</w:t>
      </w:r>
      <w:r w:rsidR="002040D2" w:rsidRPr="009C1663">
        <w:t xml:space="preserve"> Yogyakar</w:t>
      </w:r>
      <w:r w:rsidRPr="009C1663">
        <w:t xml:space="preserve">ta Principles were adopted) and </w:t>
      </w:r>
      <w:r w:rsidR="00C03DF6">
        <w:t xml:space="preserve">10 March </w:t>
      </w:r>
      <w:r w:rsidRPr="009C1663">
        <w:t xml:space="preserve">2014 reveals that issues relating to sexual orientation, gender identity and/or lesbians </w:t>
      </w:r>
      <w:r w:rsidR="00B37A20">
        <w:t>were</w:t>
      </w:r>
      <w:r w:rsidRPr="009C1663">
        <w:t xml:space="preserve"> raised in only 3</w:t>
      </w:r>
      <w:r w:rsidR="00C17B1D">
        <w:t>8</w:t>
      </w:r>
      <w:r w:rsidRPr="009C1663">
        <w:t xml:space="preserve"> of them (</w:t>
      </w:r>
      <w:r w:rsidR="00C17B1D">
        <w:t>20.9</w:t>
      </w:r>
      <w:r w:rsidR="006643AC" w:rsidRPr="00C17B1D">
        <w:t xml:space="preserve"> per</w:t>
      </w:r>
      <w:r w:rsidRPr="009C1663">
        <w:t xml:space="preserve"> cent). </w:t>
      </w:r>
      <w:r w:rsidR="00C03DF6">
        <w:t>One third</w:t>
      </w:r>
      <w:r w:rsidR="00FD6902" w:rsidRPr="009C1663">
        <w:t xml:space="preserve"> of these 3</w:t>
      </w:r>
      <w:r w:rsidR="00C17B1D">
        <w:t>8</w:t>
      </w:r>
      <w:r w:rsidR="00FD6902" w:rsidRPr="009C1663">
        <w:t xml:space="preserve"> references are in</w:t>
      </w:r>
      <w:r w:rsidR="002040D2" w:rsidRPr="009C1663">
        <w:t xml:space="preserve"> the ‘positive aspects’ of the Concluding O</w:t>
      </w:r>
      <w:r w:rsidR="00FD6902" w:rsidRPr="009C1663">
        <w:t xml:space="preserve">bservations, where the Committee ‘welcomes’ information about new anti-discrimination </w:t>
      </w:r>
      <w:r w:rsidR="00C17B1D" w:rsidRPr="009C1663">
        <w:t xml:space="preserve">legislation </w:t>
      </w:r>
      <w:r w:rsidR="00FD6902" w:rsidRPr="009C1663">
        <w:t>or same-sex partner</w:t>
      </w:r>
      <w:r w:rsidR="00C17B1D">
        <w:t xml:space="preserve"> recognition</w:t>
      </w:r>
      <w:r w:rsidR="00FD6902" w:rsidRPr="009C1663">
        <w:t xml:space="preserve"> that was provided in </w:t>
      </w:r>
      <w:r w:rsidR="00FC0E9B">
        <w:t>s</w:t>
      </w:r>
      <w:r w:rsidR="00FD6902" w:rsidRPr="009C1663">
        <w:t>tates parties reports.</w:t>
      </w:r>
      <w:r w:rsidR="00EA583F">
        <w:rPr>
          <w:rStyle w:val="FootnoteReference"/>
        </w:rPr>
        <w:footnoteReference w:id="46"/>
      </w:r>
      <w:r w:rsidR="00FD6902" w:rsidRPr="009C1663">
        <w:t xml:space="preserve"> </w:t>
      </w:r>
      <w:r w:rsidR="000852A8">
        <w:t xml:space="preserve">In these instances, </w:t>
      </w:r>
      <w:r w:rsidRPr="009C1663">
        <w:t xml:space="preserve">the CEDAW Committee </w:t>
      </w:r>
      <w:r w:rsidR="000852A8">
        <w:t xml:space="preserve">does not </w:t>
      </w:r>
      <w:r w:rsidR="00FC0E9B">
        <w:t>go beyond merely repeating the information the state party has provided</w:t>
      </w:r>
      <w:r w:rsidR="000852A8">
        <w:t>, so</w:t>
      </w:r>
      <w:r w:rsidR="00907863">
        <w:t xml:space="preserve"> cannot be credited with raising the issue and, despite being given the opportunity,</w:t>
      </w:r>
      <w:r w:rsidR="000852A8">
        <w:t xml:space="preserve"> </w:t>
      </w:r>
      <w:r w:rsidR="00870FF6">
        <w:t xml:space="preserve">notably </w:t>
      </w:r>
      <w:r w:rsidR="000852A8">
        <w:t>fails</w:t>
      </w:r>
      <w:r w:rsidR="00FC0E9B">
        <w:t xml:space="preserve"> to </w:t>
      </w:r>
      <w:r w:rsidRPr="009C1663">
        <w:t>discuss any aspects of these developme</w:t>
      </w:r>
      <w:r w:rsidR="00FD6902" w:rsidRPr="009C1663">
        <w:t xml:space="preserve">nts that may need improvement. </w:t>
      </w:r>
      <w:r w:rsidR="00907863">
        <w:t>It is likely that the remaining</w:t>
      </w:r>
      <w:r w:rsidR="00BB3A5C">
        <w:t xml:space="preserve">, more critical </w:t>
      </w:r>
      <w:r w:rsidR="00FD6902" w:rsidRPr="009C1663">
        <w:t>references</w:t>
      </w:r>
      <w:r w:rsidR="00907863">
        <w:t xml:space="preserve"> are </w:t>
      </w:r>
      <w:r w:rsidR="008D069A">
        <w:t xml:space="preserve">based on </w:t>
      </w:r>
      <w:r w:rsidR="00907863">
        <w:t>information provided by NGOs in shadow reports.</w:t>
      </w:r>
      <w:r w:rsidR="00FA3EDA" w:rsidRPr="00FA3EDA">
        <w:rPr>
          <w:rStyle w:val="FootnoteReference"/>
          <w:rFonts w:cstheme="minorHAnsi"/>
        </w:rPr>
        <w:t xml:space="preserve"> </w:t>
      </w:r>
      <w:r w:rsidR="00FA3EDA" w:rsidRPr="009C1663">
        <w:rPr>
          <w:rStyle w:val="FootnoteReference"/>
          <w:rFonts w:cstheme="minorHAnsi"/>
        </w:rPr>
        <w:footnoteReference w:id="47"/>
      </w:r>
      <w:r w:rsidR="00907863">
        <w:t xml:space="preserve"> </w:t>
      </w:r>
      <w:r w:rsidR="008D069A">
        <w:t xml:space="preserve">Yet </w:t>
      </w:r>
      <w:r w:rsidR="00FA3EDA">
        <w:t xml:space="preserve">despite </w:t>
      </w:r>
      <w:r w:rsidR="00907863">
        <w:t>draw</w:t>
      </w:r>
      <w:r w:rsidR="00FA3EDA">
        <w:t>ing</w:t>
      </w:r>
      <w:r w:rsidR="00337BBE">
        <w:t xml:space="preserve"> attention to serious human rights abuses</w:t>
      </w:r>
      <w:r w:rsidR="002040D2" w:rsidRPr="009C1663">
        <w:t>,</w:t>
      </w:r>
      <w:r w:rsidR="002040D2" w:rsidRPr="009C1663">
        <w:rPr>
          <w:rStyle w:val="FootnoteReference"/>
          <w:rFonts w:cstheme="minorHAnsi"/>
        </w:rPr>
        <w:footnoteReference w:id="48"/>
      </w:r>
      <w:r w:rsidRPr="009C1663">
        <w:t xml:space="preserve"> </w:t>
      </w:r>
      <w:r w:rsidR="008D069A">
        <w:t xml:space="preserve">the references are </w:t>
      </w:r>
      <w:r w:rsidR="00FA3EDA" w:rsidRPr="009C1663">
        <w:t>brief</w:t>
      </w:r>
      <w:r w:rsidR="00D3499A">
        <w:t>,</w:t>
      </w:r>
      <w:r w:rsidR="00FA337C">
        <w:t xml:space="preserve"> and the s</w:t>
      </w:r>
      <w:r w:rsidRPr="009C1663">
        <w:t>tate party concerned is not seriously taken to task</w:t>
      </w:r>
      <w:r w:rsidR="002040D2" w:rsidRPr="009C1663">
        <w:t xml:space="preserve">. </w:t>
      </w:r>
      <w:r w:rsidR="008D069A">
        <w:t>For example, i</w:t>
      </w:r>
      <w:r w:rsidR="002040D2" w:rsidRPr="009C1663">
        <w:t>n the case of criminaliz</w:t>
      </w:r>
      <w:r w:rsidRPr="009C1663">
        <w:t>ation</w:t>
      </w:r>
      <w:r w:rsidR="0002774E">
        <w:t xml:space="preserve"> of </w:t>
      </w:r>
      <w:r w:rsidR="00BB3A5C">
        <w:t>‘</w:t>
      </w:r>
      <w:r w:rsidR="0002774E">
        <w:t>same-sex relationships</w:t>
      </w:r>
      <w:r w:rsidR="00BB3A5C">
        <w:t>’</w:t>
      </w:r>
      <w:r w:rsidRPr="009C1663">
        <w:t xml:space="preserve">, as in Sri Lanka, which </w:t>
      </w:r>
      <w:r w:rsidR="008D069A" w:rsidRPr="009C1663">
        <w:t xml:space="preserve">the Committee </w:t>
      </w:r>
      <w:r w:rsidR="00C2289B">
        <w:t xml:space="preserve">admits </w:t>
      </w:r>
      <w:r w:rsidR="008D069A">
        <w:t xml:space="preserve">leaves </w:t>
      </w:r>
      <w:r w:rsidRPr="009C1663">
        <w:t>women ‘completely excluded from legal protection’</w:t>
      </w:r>
      <w:r w:rsidR="0002774E">
        <w:t xml:space="preserve"> and at risk of arbitrary </w:t>
      </w:r>
      <w:r w:rsidR="0002774E">
        <w:lastRenderedPageBreak/>
        <w:t>detention</w:t>
      </w:r>
      <w:r w:rsidRPr="009C1663">
        <w:t xml:space="preserve">, </w:t>
      </w:r>
      <w:r w:rsidR="008D069A">
        <w:t xml:space="preserve">it </w:t>
      </w:r>
      <w:r w:rsidRPr="009C1663">
        <w:t>merely expresses its ‘concern’.</w:t>
      </w:r>
      <w:r w:rsidRPr="009C1663">
        <w:rPr>
          <w:rStyle w:val="FootnoteReference"/>
          <w:rFonts w:cstheme="minorHAnsi"/>
        </w:rPr>
        <w:footnoteReference w:id="49"/>
      </w:r>
      <w:r w:rsidRPr="009C1663">
        <w:t xml:space="preserve"> ‘Sexual orientation’ and ‘gender identity’ are not even routinely included in </w:t>
      </w:r>
      <w:r w:rsidR="00D3499A">
        <w:t xml:space="preserve">standard </w:t>
      </w:r>
      <w:r w:rsidRPr="009C1663">
        <w:t>lists of prohibited grounds of discrimination when they appear</w:t>
      </w:r>
      <w:r w:rsidR="0035615C" w:rsidRPr="009C1663">
        <w:t xml:space="preserve"> in the Committee’s Concluding Observations</w:t>
      </w:r>
      <w:r w:rsidR="00FA3EDA">
        <w:t>, despite other human rights treaty bodies adopting this practice</w:t>
      </w:r>
      <w:r w:rsidRPr="009C1663">
        <w:t xml:space="preserve">. </w:t>
      </w:r>
    </w:p>
    <w:p w:rsidR="00EC2FCD" w:rsidRDefault="00992A9E">
      <w:r>
        <w:t xml:space="preserve">When examined through the </w:t>
      </w:r>
      <w:r w:rsidR="00FA3EDA">
        <w:t>single</w:t>
      </w:r>
      <w:r w:rsidR="00881CE3">
        <w:t xml:space="preserve"> </w:t>
      </w:r>
      <w:r>
        <w:t>lens of gender identity</w:t>
      </w:r>
      <w:r w:rsidR="00394571">
        <w:t xml:space="preserve"> (detached from sexual orientation)</w:t>
      </w:r>
      <w:r>
        <w:t xml:space="preserve">, </w:t>
      </w:r>
      <w:r w:rsidR="00C14544">
        <w:t>it is clear that the CEDAW Committee</w:t>
      </w:r>
      <w:r w:rsidR="00AC4253">
        <w:t>,</w:t>
      </w:r>
      <w:r w:rsidR="00C14544">
        <w:t xml:space="preserve"> </w:t>
      </w:r>
      <w:r w:rsidR="00881CE3">
        <w:t xml:space="preserve">notorious </w:t>
      </w:r>
      <w:r w:rsidR="00FA3EDA">
        <w:t xml:space="preserve">for its </w:t>
      </w:r>
      <w:r w:rsidR="00AC4253">
        <w:t>‘slowness’ to engage with issues of sexuality,</w:t>
      </w:r>
      <w:bookmarkStart w:id="14" w:name="_Ref423694452"/>
      <w:r w:rsidR="00AC4253">
        <w:rPr>
          <w:rStyle w:val="FootnoteReference"/>
        </w:rPr>
        <w:footnoteReference w:id="50"/>
      </w:r>
      <w:bookmarkEnd w:id="14"/>
      <w:r w:rsidR="00AC4253">
        <w:t xml:space="preserve"> </w:t>
      </w:r>
      <w:r w:rsidR="00FA3EDA">
        <w:t xml:space="preserve">is even more resistant to facing up to the challenges presented by the concept of </w:t>
      </w:r>
      <w:r w:rsidR="00C14544">
        <w:t xml:space="preserve">gender identity. </w:t>
      </w:r>
      <w:r w:rsidR="00996495">
        <w:t xml:space="preserve">Indeed, a member of the CEDAW Committee has observed that the term ‘gender identity’ is anathema to many Committee members </w:t>
      </w:r>
      <w:r w:rsidR="00394571">
        <w:t>because</w:t>
      </w:r>
      <w:r w:rsidR="00996495">
        <w:t xml:space="preserve"> it is seen as ‘watering down’ CEDAW obligations to women.</w:t>
      </w:r>
      <w:r w:rsidR="00996495">
        <w:rPr>
          <w:rStyle w:val="FootnoteReference"/>
        </w:rPr>
        <w:footnoteReference w:id="51"/>
      </w:r>
      <w:r w:rsidR="00996495">
        <w:t xml:space="preserve"> </w:t>
      </w:r>
      <w:r w:rsidR="00C03DF6">
        <w:t>More than half</w:t>
      </w:r>
      <w:r w:rsidR="00034F6B">
        <w:t xml:space="preserve"> of the </w:t>
      </w:r>
      <w:r w:rsidR="00C14544">
        <w:t xml:space="preserve">38 </w:t>
      </w:r>
      <w:r w:rsidR="00C03DF6">
        <w:t xml:space="preserve">references </w:t>
      </w:r>
      <w:r w:rsidR="00996495">
        <w:t xml:space="preserve">in my </w:t>
      </w:r>
      <w:r w:rsidR="00034F6B">
        <w:t xml:space="preserve">sample </w:t>
      </w:r>
      <w:r w:rsidR="00996495">
        <w:t xml:space="preserve">of Concluding Observations </w:t>
      </w:r>
      <w:r w:rsidR="00C03DF6">
        <w:t xml:space="preserve">are </w:t>
      </w:r>
      <w:r w:rsidR="00BB3A5C">
        <w:t xml:space="preserve">substantively </w:t>
      </w:r>
      <w:r w:rsidR="00C03DF6">
        <w:t>concerned only with issues of sexuality (sexual orientation discrimination, same sex relationship</w:t>
      </w:r>
      <w:r w:rsidR="00E21B7B">
        <w:t xml:space="preserve"> recognition</w:t>
      </w:r>
      <w:r w:rsidR="00C03DF6">
        <w:t>, violence against lesbians</w:t>
      </w:r>
      <w:r w:rsidR="00E21B7B">
        <w:t xml:space="preserve"> and </w:t>
      </w:r>
      <w:r w:rsidR="00C03DF6">
        <w:t xml:space="preserve">lesbian reproductive rights). </w:t>
      </w:r>
      <w:r w:rsidR="00C14544">
        <w:t xml:space="preserve">All but three </w:t>
      </w:r>
      <w:r w:rsidR="00C03DF6">
        <w:t xml:space="preserve">of the </w:t>
      </w:r>
      <w:r w:rsidR="00C14544">
        <w:t xml:space="preserve">remaining </w:t>
      </w:r>
      <w:r w:rsidR="00C03DF6">
        <w:t>references</w:t>
      </w:r>
      <w:r w:rsidR="00E21B7B">
        <w:t xml:space="preserve">, either </w:t>
      </w:r>
      <w:r w:rsidR="00034F6B">
        <w:t xml:space="preserve">couple </w:t>
      </w:r>
      <w:r w:rsidR="008D069A">
        <w:t>gender identity</w:t>
      </w:r>
      <w:r w:rsidR="00E21B7B">
        <w:t xml:space="preserve"> with </w:t>
      </w:r>
      <w:r w:rsidR="00C03DF6">
        <w:t>sexual orientation</w:t>
      </w:r>
      <w:r w:rsidR="00365FE6">
        <w:t xml:space="preserve"> (SOGI)</w:t>
      </w:r>
      <w:r w:rsidR="00E21B7B">
        <w:t xml:space="preserve">, or </w:t>
      </w:r>
      <w:r w:rsidR="00034F6B">
        <w:t xml:space="preserve">include </w:t>
      </w:r>
      <w:r w:rsidR="008D069A">
        <w:t>transgender</w:t>
      </w:r>
      <w:r w:rsidR="00E21B7B">
        <w:t xml:space="preserve"> in a list with </w:t>
      </w:r>
      <w:r w:rsidR="00C03DF6">
        <w:t>lesbian, bi-sexual</w:t>
      </w:r>
      <w:r w:rsidR="008D069A">
        <w:t xml:space="preserve"> and intersex</w:t>
      </w:r>
      <w:r w:rsidR="00365FE6">
        <w:t xml:space="preserve"> (LBTI)</w:t>
      </w:r>
      <w:r w:rsidR="00E21B7B">
        <w:t xml:space="preserve">. As Jena McGill </w:t>
      </w:r>
      <w:r w:rsidR="00C14544">
        <w:t>ar</w:t>
      </w:r>
      <w:r w:rsidR="00BB3A5C">
        <w:t>gues</w:t>
      </w:r>
      <w:r w:rsidR="00C14544">
        <w:t>,</w:t>
      </w:r>
      <w:r w:rsidR="00E21B7B">
        <w:t xml:space="preserve"> the </w:t>
      </w:r>
      <w:r w:rsidR="00F1650C">
        <w:t xml:space="preserve">treatment </w:t>
      </w:r>
      <w:r w:rsidR="00E21B7B">
        <w:t xml:space="preserve">of </w:t>
      </w:r>
      <w:r w:rsidR="00365FE6">
        <w:t xml:space="preserve">gender identity and </w:t>
      </w:r>
      <w:r w:rsidR="00E21B7B">
        <w:t xml:space="preserve">transgender </w:t>
      </w:r>
      <w:r w:rsidR="00365FE6">
        <w:t xml:space="preserve">issues as if they converged with issues of sexuality, runs the risk that the specificity of </w:t>
      </w:r>
      <w:r w:rsidR="00365FE6" w:rsidRPr="00001E9C">
        <w:t>human rights issues related to gender identity will be marginalized or disappear altogether.</w:t>
      </w:r>
      <w:r w:rsidR="00034F6B">
        <w:rPr>
          <w:rStyle w:val="FootnoteReference"/>
        </w:rPr>
        <w:footnoteReference w:id="52"/>
      </w:r>
      <w:r w:rsidR="00C14544">
        <w:t xml:space="preserve"> The CEDAW Concluding O</w:t>
      </w:r>
      <w:r w:rsidR="00365FE6" w:rsidRPr="00001E9C">
        <w:t xml:space="preserve">bservations are a good example of </w:t>
      </w:r>
      <w:r w:rsidR="00B02CCD">
        <w:t>such a disappearance</w:t>
      </w:r>
      <w:r w:rsidR="00365FE6" w:rsidRPr="00001E9C">
        <w:t xml:space="preserve">.  </w:t>
      </w:r>
      <w:r w:rsidR="00001E9C" w:rsidRPr="00001E9C">
        <w:t>O</w:t>
      </w:r>
      <w:r w:rsidR="00FA337C" w:rsidRPr="00001E9C">
        <w:t xml:space="preserve">n </w:t>
      </w:r>
      <w:r w:rsidR="00001E9C" w:rsidRPr="00001E9C">
        <w:t xml:space="preserve">only three </w:t>
      </w:r>
      <w:r w:rsidR="00FA337C" w:rsidRPr="00001E9C">
        <w:t xml:space="preserve">occasions </w:t>
      </w:r>
      <w:r w:rsidR="00001E9C" w:rsidRPr="00001E9C">
        <w:t>does the Committee refer to issues that are unique, or of primary concern, to the transgendered community.</w:t>
      </w:r>
      <w:r w:rsidR="002C63A5">
        <w:t xml:space="preserve"> Twice</w:t>
      </w:r>
      <w:r w:rsidR="00001E9C">
        <w:t>, the Committee</w:t>
      </w:r>
      <w:r w:rsidR="002C63A5">
        <w:t xml:space="preserve"> </w:t>
      </w:r>
      <w:r w:rsidR="00F1650C">
        <w:t>expresses</w:t>
      </w:r>
      <w:r w:rsidR="00001E9C" w:rsidRPr="00001E9C">
        <w:t xml:space="preserve"> </w:t>
      </w:r>
      <w:r w:rsidR="00001E9C">
        <w:t xml:space="preserve">concern </w:t>
      </w:r>
      <w:r w:rsidR="002C63A5">
        <w:t xml:space="preserve">about </w:t>
      </w:r>
      <w:r w:rsidR="00001E9C">
        <w:t>the com</w:t>
      </w:r>
      <w:r w:rsidR="00001E9C" w:rsidRPr="00001E9C">
        <w:t xml:space="preserve">pulsory sterilization </w:t>
      </w:r>
      <w:r w:rsidR="002C63A5">
        <w:t xml:space="preserve">that transgendered people </w:t>
      </w:r>
      <w:r w:rsidR="00001E9C" w:rsidRPr="00001E9C">
        <w:t>must undergo to get birth certificates changed,</w:t>
      </w:r>
      <w:r w:rsidR="002C63A5" w:rsidRPr="002C63A5">
        <w:rPr>
          <w:rStyle w:val="FootnoteReference"/>
        </w:rPr>
        <w:t xml:space="preserve"> </w:t>
      </w:r>
      <w:r w:rsidR="002C63A5" w:rsidRPr="00001E9C">
        <w:rPr>
          <w:rStyle w:val="FootnoteReference"/>
        </w:rPr>
        <w:footnoteReference w:id="53"/>
      </w:r>
      <w:r w:rsidR="00001E9C" w:rsidRPr="00001E9C">
        <w:t xml:space="preserve"> </w:t>
      </w:r>
      <w:r w:rsidR="002C63A5">
        <w:t xml:space="preserve">and </w:t>
      </w:r>
      <w:r w:rsidR="00F1650C">
        <w:t xml:space="preserve">once </w:t>
      </w:r>
      <w:r w:rsidR="00394571">
        <w:t xml:space="preserve">it </w:t>
      </w:r>
      <w:r w:rsidR="002C63A5">
        <w:t>note</w:t>
      </w:r>
      <w:r w:rsidR="00394571">
        <w:t>s</w:t>
      </w:r>
      <w:r w:rsidR="002C63A5">
        <w:t xml:space="preserve"> the </w:t>
      </w:r>
      <w:r w:rsidR="00001E9C" w:rsidRPr="00001E9C">
        <w:t xml:space="preserve">difficulties faced by transgendered asylum seekers due to the narrow construction of gender-related </w:t>
      </w:r>
      <w:r w:rsidR="00001E9C" w:rsidRPr="00001E9C">
        <w:lastRenderedPageBreak/>
        <w:t>persecution</w:t>
      </w:r>
      <w:r w:rsidR="002C63A5">
        <w:t>.</w:t>
      </w:r>
      <w:r w:rsidR="002C63A5">
        <w:rPr>
          <w:rStyle w:val="FootnoteReference"/>
        </w:rPr>
        <w:footnoteReference w:id="54"/>
      </w:r>
      <w:r w:rsidR="002C63A5">
        <w:t xml:space="preserve"> </w:t>
      </w:r>
      <w:r w:rsidR="00394571">
        <w:t>W</w:t>
      </w:r>
      <w:r w:rsidR="006643AC" w:rsidRPr="00F1650C">
        <w:t xml:space="preserve">hen </w:t>
      </w:r>
      <w:r w:rsidR="00C2289B">
        <w:t xml:space="preserve">it does use </w:t>
      </w:r>
      <w:r w:rsidR="006643AC" w:rsidRPr="00F1650C">
        <w:t xml:space="preserve">the term gender identity </w:t>
      </w:r>
      <w:r w:rsidR="00881CE3">
        <w:t>to refer to specific violations</w:t>
      </w:r>
      <w:r w:rsidR="006643AC" w:rsidRPr="00F1650C">
        <w:t xml:space="preserve">, it is </w:t>
      </w:r>
      <w:r w:rsidR="00B02CCD">
        <w:t xml:space="preserve">understood to </w:t>
      </w:r>
      <w:r w:rsidR="006643AC" w:rsidRPr="00F1650C">
        <w:t>appl</w:t>
      </w:r>
      <w:r w:rsidR="00B02CCD">
        <w:t>y only</w:t>
      </w:r>
      <w:r w:rsidR="006643AC" w:rsidRPr="00F1650C">
        <w:t xml:space="preserve"> to transgendered people</w:t>
      </w:r>
      <w:r w:rsidR="00907863">
        <w:t xml:space="preserve">, </w:t>
      </w:r>
      <w:r w:rsidR="00881CE3">
        <w:t>indicating that</w:t>
      </w:r>
      <w:r w:rsidR="00907863">
        <w:t xml:space="preserve"> </w:t>
      </w:r>
      <w:r w:rsidR="00286421">
        <w:t xml:space="preserve">the CEDAW Committee does not consider </w:t>
      </w:r>
      <w:r w:rsidR="00907863">
        <w:t>women and men</w:t>
      </w:r>
      <w:r w:rsidR="00286421">
        <w:t xml:space="preserve"> </w:t>
      </w:r>
      <w:r w:rsidR="00907863">
        <w:t>to be gender identities</w:t>
      </w:r>
      <w:r w:rsidR="006643AC" w:rsidRPr="00F1650C">
        <w:t>.</w:t>
      </w:r>
      <w:r w:rsidR="007757D1" w:rsidRPr="00001E9C">
        <w:t xml:space="preserve"> </w:t>
      </w:r>
    </w:p>
    <w:p w:rsidR="00EC2FCD" w:rsidRDefault="00C2289B">
      <w:r>
        <w:t xml:space="preserve">Clearly, members of </w:t>
      </w:r>
      <w:r w:rsidR="007757D1">
        <w:t>the CEDAW Committee</w:t>
      </w:r>
      <w:r w:rsidR="002737A1">
        <w:t xml:space="preserve"> </w:t>
      </w:r>
      <w:r>
        <w:t>are</w:t>
      </w:r>
      <w:r w:rsidR="005F29CA">
        <w:t xml:space="preserve"> divided </w:t>
      </w:r>
      <w:r w:rsidR="00881CE3">
        <w:t xml:space="preserve">on how to incorporate issues of sexual orientation and gender </w:t>
      </w:r>
      <w:r w:rsidR="00EB6F3D">
        <w:t>[</w:t>
      </w:r>
      <w:r w:rsidR="00881CE3">
        <w:t>identity</w:t>
      </w:r>
      <w:r w:rsidR="00EB6F3D">
        <w:t>]</w:t>
      </w:r>
      <w:r w:rsidR="00881CE3">
        <w:t xml:space="preserve"> into</w:t>
      </w:r>
      <w:r>
        <w:t xml:space="preserve"> their</w:t>
      </w:r>
      <w:r w:rsidR="00881CE3">
        <w:t xml:space="preserve"> work</w:t>
      </w:r>
      <w:r w:rsidR="005F29CA">
        <w:t xml:space="preserve">. While earlier making sporadic references to sexual orientation, </w:t>
      </w:r>
      <w:r w:rsidR="00881CE3">
        <w:t>the Committee</w:t>
      </w:r>
      <w:r w:rsidR="005F29CA">
        <w:t xml:space="preserve"> was completely silent on issues of sexuality </w:t>
      </w:r>
      <w:r w:rsidR="00881CE3">
        <w:t xml:space="preserve">between </w:t>
      </w:r>
      <w:r w:rsidR="005F29CA">
        <w:t xml:space="preserve">2002 </w:t>
      </w:r>
      <w:r w:rsidR="00881CE3">
        <w:t>and</w:t>
      </w:r>
      <w:r w:rsidR="005F29CA">
        <w:t xml:space="preserve"> late 2008, falling out of step with most other UN human rights mechanisms</w:t>
      </w:r>
      <w:r w:rsidR="00703AB4">
        <w:t>.</w:t>
      </w:r>
      <w:r w:rsidR="005F29CA">
        <w:rPr>
          <w:rStyle w:val="FootnoteReference"/>
        </w:rPr>
        <w:footnoteReference w:id="55"/>
      </w:r>
      <w:r w:rsidR="00703AB4">
        <w:t xml:space="preserve"> </w:t>
      </w:r>
      <w:r w:rsidR="007918D8">
        <w:t xml:space="preserve">Following the </w:t>
      </w:r>
      <w:r>
        <w:t xml:space="preserve">1995 </w:t>
      </w:r>
      <w:r w:rsidR="007918D8">
        <w:t xml:space="preserve">Beijing </w:t>
      </w:r>
      <w:r>
        <w:t xml:space="preserve">World </w:t>
      </w:r>
      <w:r w:rsidR="007918D8">
        <w:t>Conference</w:t>
      </w:r>
      <w:r>
        <w:t xml:space="preserve"> on Women</w:t>
      </w:r>
      <w:r w:rsidR="007918D8">
        <w:t>, i</w:t>
      </w:r>
      <w:r w:rsidR="00F71D7B">
        <w:t xml:space="preserve">t </w:t>
      </w:r>
      <w:r w:rsidR="007918D8">
        <w:t xml:space="preserve">took the Committee another fifteen years to </w:t>
      </w:r>
      <w:r w:rsidR="00F71D7B">
        <w:t xml:space="preserve">reach agreement </w:t>
      </w:r>
      <w:r w:rsidR="00963A9D">
        <w:t xml:space="preserve">about </w:t>
      </w:r>
      <w:r w:rsidR="00F71D7B">
        <w:t>its understanding of the distinction between sex and gender</w:t>
      </w:r>
      <w:r w:rsidR="00963A9D">
        <w:t xml:space="preserve">. </w:t>
      </w:r>
      <w:r w:rsidR="00394571">
        <w:t>This was</w:t>
      </w:r>
      <w:r w:rsidR="00F71D7B">
        <w:t xml:space="preserve"> finally </w:t>
      </w:r>
      <w:r w:rsidR="00963A9D">
        <w:t>clarified</w:t>
      </w:r>
      <w:r w:rsidR="007918D8">
        <w:t xml:space="preserve"> in </w:t>
      </w:r>
      <w:r w:rsidR="00EB6F3D">
        <w:t xml:space="preserve">2010 in </w:t>
      </w:r>
      <w:r w:rsidR="007918D8">
        <w:t>General Recommendation 28</w:t>
      </w:r>
      <w:r w:rsidR="00573F1F">
        <w:t>:</w:t>
      </w:r>
      <w:r w:rsidR="007918D8">
        <w:t xml:space="preserve"> </w:t>
      </w:r>
      <w:r w:rsidR="00F71D7B">
        <w:t xml:space="preserve">that </w:t>
      </w:r>
      <w:r w:rsidR="00703AB4">
        <w:t>‘sex’ refer</w:t>
      </w:r>
      <w:r w:rsidR="00573F1F">
        <w:t>s</w:t>
      </w:r>
      <w:r w:rsidR="00703AB4">
        <w:t xml:space="preserve"> to ‘biological differences between men and women’</w:t>
      </w:r>
      <w:r w:rsidR="002E7F72">
        <w:t xml:space="preserve"> and ‘gender’ to ‘socially constructed identities, attributes and roles for women and men’.</w:t>
      </w:r>
      <w:bookmarkStart w:id="15" w:name="_Ref423446918"/>
      <w:r w:rsidR="002E7F72">
        <w:rPr>
          <w:rStyle w:val="FootnoteReference"/>
        </w:rPr>
        <w:footnoteReference w:id="56"/>
      </w:r>
      <w:bookmarkEnd w:id="15"/>
      <w:r w:rsidR="007757D1">
        <w:t xml:space="preserve"> </w:t>
      </w:r>
      <w:r w:rsidR="0055200A">
        <w:t xml:space="preserve">Accepting </w:t>
      </w:r>
      <w:r w:rsidR="00F71D7B">
        <w:t>this</w:t>
      </w:r>
      <w:r w:rsidR="0055200A">
        <w:t xml:space="preserve"> distinction is </w:t>
      </w:r>
      <w:r w:rsidR="00BC7074">
        <w:t xml:space="preserve">a necessary prerequisite </w:t>
      </w:r>
      <w:r w:rsidR="0055200A">
        <w:t xml:space="preserve">to grasping the idea that discrimination </w:t>
      </w:r>
      <w:r w:rsidR="00B7065E">
        <w:t xml:space="preserve">may be suffered </w:t>
      </w:r>
      <w:r w:rsidR="0055200A">
        <w:t xml:space="preserve">on the basis of </w:t>
      </w:r>
      <w:r w:rsidR="00573F1F">
        <w:t xml:space="preserve">social conceptions of </w:t>
      </w:r>
      <w:r w:rsidR="0055200A">
        <w:t>gender identity or gender expression</w:t>
      </w:r>
      <w:r w:rsidR="008D069A">
        <w:t>, even</w:t>
      </w:r>
      <w:r w:rsidR="004439DC">
        <w:t xml:space="preserve"> though the </w:t>
      </w:r>
      <w:r w:rsidR="007918D8">
        <w:t xml:space="preserve">continued </w:t>
      </w:r>
      <w:r w:rsidR="004439DC">
        <w:t xml:space="preserve">mooring of sex in (bio)logic is problematic, as I have </w:t>
      </w:r>
      <w:r w:rsidR="00963A9D">
        <w:t xml:space="preserve">already </w:t>
      </w:r>
      <w:r w:rsidR="004439DC">
        <w:t>discussed</w:t>
      </w:r>
      <w:r w:rsidR="0055200A">
        <w:t>.</w:t>
      </w:r>
      <w:r w:rsidR="00B7065E" w:rsidDel="0055200A">
        <w:t xml:space="preserve"> </w:t>
      </w:r>
      <w:r w:rsidR="0055200A">
        <w:t xml:space="preserve"> </w:t>
      </w:r>
      <w:r w:rsidR="00C15B78">
        <w:t>At the same time</w:t>
      </w:r>
      <w:r w:rsidR="002E7F72">
        <w:t xml:space="preserve">, reflecting the </w:t>
      </w:r>
      <w:r w:rsidR="00EB6F3D">
        <w:t xml:space="preserve">concerns </w:t>
      </w:r>
      <w:r w:rsidR="002E7F72">
        <w:t>of feminist human rights advocates</w:t>
      </w:r>
      <w:r w:rsidR="0055200A">
        <w:t xml:space="preserve"> </w:t>
      </w:r>
      <w:r w:rsidR="004439DC">
        <w:t>who are reluctant to</w:t>
      </w:r>
      <w:r w:rsidR="00D5237C">
        <w:t xml:space="preserve"> </w:t>
      </w:r>
      <w:r w:rsidR="0055200A">
        <w:t>question</w:t>
      </w:r>
      <w:r w:rsidR="00D5237C">
        <w:t xml:space="preserve"> </w:t>
      </w:r>
      <w:r w:rsidR="0055200A">
        <w:t>gender duali</w:t>
      </w:r>
      <w:r w:rsidR="00D5237C">
        <w:t>sm</w:t>
      </w:r>
      <w:r w:rsidR="002E7F72">
        <w:t xml:space="preserve">, the CEDAW Committee </w:t>
      </w:r>
      <w:r w:rsidR="004439DC">
        <w:t xml:space="preserve">makes </w:t>
      </w:r>
      <w:r w:rsidR="00D5237C">
        <w:t xml:space="preserve">it </w:t>
      </w:r>
      <w:r w:rsidR="004439DC">
        <w:t xml:space="preserve">clear </w:t>
      </w:r>
      <w:r w:rsidR="00D5237C">
        <w:t xml:space="preserve">that </w:t>
      </w:r>
      <w:r w:rsidR="002E7F72">
        <w:t xml:space="preserve">its task </w:t>
      </w:r>
      <w:r w:rsidR="00C15B78">
        <w:t>is to</w:t>
      </w:r>
      <w:r w:rsidR="002E7F72">
        <w:t xml:space="preserve"> challeng</w:t>
      </w:r>
      <w:r w:rsidR="00C15B78">
        <w:t>e</w:t>
      </w:r>
      <w:r w:rsidR="002E7F72">
        <w:t xml:space="preserve"> the ‘hierarchical relationships between women and men’ and the ‘distribution of power and rights favouring men and disadvantaging women’.</w:t>
      </w:r>
      <w:r w:rsidR="002E7F72">
        <w:rPr>
          <w:rStyle w:val="FootnoteReference"/>
        </w:rPr>
        <w:footnoteReference w:id="57"/>
      </w:r>
      <w:r w:rsidR="002E7F72">
        <w:t xml:space="preserve"> Questioning the duality of sex/gender </w:t>
      </w:r>
      <w:r w:rsidR="00963A9D">
        <w:t xml:space="preserve">and its biological assumptions </w:t>
      </w:r>
      <w:r w:rsidR="002E7F72">
        <w:t xml:space="preserve">is </w:t>
      </w:r>
      <w:r w:rsidR="00BC7074">
        <w:t xml:space="preserve">clearly </w:t>
      </w:r>
      <w:r w:rsidR="002E7F72">
        <w:t xml:space="preserve">not on its agenda. </w:t>
      </w:r>
    </w:p>
    <w:p w:rsidR="00EC2FCD" w:rsidRDefault="000B007E">
      <w:r>
        <w:t xml:space="preserve">Of the seven General Recommendations adopted </w:t>
      </w:r>
      <w:r w:rsidR="00996495">
        <w:t xml:space="preserve">by the CEDAW Committee </w:t>
      </w:r>
      <w:r>
        <w:t xml:space="preserve">since 2007, only </w:t>
      </w:r>
      <w:r w:rsidR="00C10317">
        <w:t>two make reference</w:t>
      </w:r>
      <w:r w:rsidR="007757D1">
        <w:t xml:space="preserve"> to </w:t>
      </w:r>
      <w:r w:rsidR="00D97D59">
        <w:t>‘</w:t>
      </w:r>
      <w:r w:rsidR="007757D1">
        <w:t>sexual orientation and gender identity</w:t>
      </w:r>
      <w:r w:rsidR="00996495">
        <w:t>,</w:t>
      </w:r>
      <w:r w:rsidR="00D97D59">
        <w:t>’</w:t>
      </w:r>
      <w:r w:rsidR="00996495">
        <w:t xml:space="preserve"> </w:t>
      </w:r>
      <w:r w:rsidR="00C2289B">
        <w:t xml:space="preserve">and </w:t>
      </w:r>
      <w:r w:rsidR="00996495">
        <w:t xml:space="preserve">neither refers to </w:t>
      </w:r>
      <w:r w:rsidR="00996495">
        <w:lastRenderedPageBreak/>
        <w:t>the Yogyakarta Principles</w:t>
      </w:r>
      <w:r w:rsidR="00C10317">
        <w:t>.</w:t>
      </w:r>
      <w:r w:rsidR="00C10317">
        <w:rPr>
          <w:rStyle w:val="FootnoteReference"/>
        </w:rPr>
        <w:footnoteReference w:id="58"/>
      </w:r>
      <w:r w:rsidR="00C10317">
        <w:t xml:space="preserve"> </w:t>
      </w:r>
      <w:r w:rsidR="00C15B78">
        <w:t xml:space="preserve">Both references </w:t>
      </w:r>
      <w:r w:rsidR="00EB6F3D">
        <w:t xml:space="preserve">treat </w:t>
      </w:r>
      <w:r w:rsidR="00C15B78">
        <w:t>the two</w:t>
      </w:r>
      <w:r>
        <w:t xml:space="preserve"> categories </w:t>
      </w:r>
      <w:r w:rsidR="00C10317">
        <w:t>as</w:t>
      </w:r>
      <w:r w:rsidR="007757D1">
        <w:t xml:space="preserve"> aspects of intersectional discrimination that can compound or </w:t>
      </w:r>
      <w:r w:rsidR="00703AB4">
        <w:t xml:space="preserve">intensify </w:t>
      </w:r>
      <w:r w:rsidR="007757D1">
        <w:t>discrimination against women based on sex or gender</w:t>
      </w:r>
      <w:r w:rsidR="00C15B78">
        <w:t>, which</w:t>
      </w:r>
      <w:r w:rsidR="00996495">
        <w:t xml:space="preserve"> treats gender identity as a</w:t>
      </w:r>
      <w:r w:rsidR="00D97D59">
        <w:t>n additional</w:t>
      </w:r>
      <w:r w:rsidR="00996495">
        <w:t xml:space="preserve"> category of</w:t>
      </w:r>
      <w:r w:rsidR="00D97D59">
        <w:t xml:space="preserve"> prohibited</w:t>
      </w:r>
      <w:r w:rsidR="00996495">
        <w:t xml:space="preserve"> discrimination, </w:t>
      </w:r>
      <w:r w:rsidR="00D97D59">
        <w:t xml:space="preserve">rather than a form of </w:t>
      </w:r>
      <w:r w:rsidR="00996495">
        <w:t>sex/gender</w:t>
      </w:r>
      <w:r w:rsidR="00D97D59">
        <w:t xml:space="preserve"> discrimination</w:t>
      </w:r>
      <w:r w:rsidR="00996495">
        <w:t xml:space="preserve">. </w:t>
      </w:r>
      <w:r w:rsidR="00535EA6">
        <w:t>In</w:t>
      </w:r>
      <w:r w:rsidR="00933925">
        <w:t xml:space="preserve"> </w:t>
      </w:r>
      <w:r w:rsidR="00535EA6">
        <w:t xml:space="preserve">refusing the insight that sex/gender/gender identity are all given substance by </w:t>
      </w:r>
      <w:r w:rsidR="00D97D59">
        <w:t>the same matrix of gendered social relations</w:t>
      </w:r>
      <w:r w:rsidR="00535EA6">
        <w:t xml:space="preserve">, the CEDAW Committee </w:t>
      </w:r>
      <w:r w:rsidR="004439DC">
        <w:t xml:space="preserve">completely </w:t>
      </w:r>
      <w:r w:rsidR="003847A0">
        <w:t xml:space="preserve">fails to recognize </w:t>
      </w:r>
      <w:r w:rsidR="00BE3E87">
        <w:t>the</w:t>
      </w:r>
      <w:r w:rsidR="006427F1">
        <w:t xml:space="preserve"> transformative </w:t>
      </w:r>
      <w:r w:rsidR="003847A0">
        <w:t xml:space="preserve">potential </w:t>
      </w:r>
      <w:r w:rsidR="006427F1">
        <w:t>of CEDAW</w:t>
      </w:r>
      <w:r w:rsidR="00BA30AD">
        <w:t xml:space="preserve">, as </w:t>
      </w:r>
      <w:r w:rsidR="00D97D59">
        <w:t xml:space="preserve">conceived </w:t>
      </w:r>
      <w:r w:rsidR="00BA30AD">
        <w:t>by Holtmaat</w:t>
      </w:r>
      <w:r w:rsidR="00092C0C">
        <w:t>.</w:t>
      </w:r>
      <w:r w:rsidR="00D97D59">
        <w:t xml:space="preserve"> Further</w:t>
      </w:r>
      <w:r w:rsidR="006427F1">
        <w:t xml:space="preserve">, </w:t>
      </w:r>
      <w:r>
        <w:t>the Committee</w:t>
      </w:r>
      <w:r w:rsidR="00535EA6">
        <w:t>’s approach</w:t>
      </w:r>
      <w:r w:rsidR="00092C0C">
        <w:t xml:space="preserve"> </w:t>
      </w:r>
      <w:r w:rsidR="0055200A">
        <w:t xml:space="preserve">denies </w:t>
      </w:r>
      <w:r w:rsidR="006427F1">
        <w:t xml:space="preserve">the </w:t>
      </w:r>
      <w:r w:rsidR="003847A0">
        <w:t>reality</w:t>
      </w:r>
      <w:r w:rsidR="006427F1">
        <w:t xml:space="preserve"> that </w:t>
      </w:r>
      <w:r w:rsidR="003847A0">
        <w:t xml:space="preserve">everyone has a gender identity and </w:t>
      </w:r>
      <w:r w:rsidR="00535EA6">
        <w:t xml:space="preserve">refuses </w:t>
      </w:r>
      <w:r w:rsidR="007D4357">
        <w:t xml:space="preserve">to ‘see’ </w:t>
      </w:r>
      <w:r w:rsidR="00535EA6">
        <w:t xml:space="preserve">the </w:t>
      </w:r>
      <w:r w:rsidR="007D4357">
        <w:t xml:space="preserve">multiple subjectivities </w:t>
      </w:r>
      <w:r w:rsidR="00EB79A8" w:rsidRPr="00EB79A8">
        <w:t>performatively constituted in and through daily practices of sex/gender/gender identity</w:t>
      </w:r>
      <w:r w:rsidR="007D4357" w:rsidRPr="00C2289B">
        <w:t>.</w:t>
      </w:r>
      <w:r w:rsidR="007D4357">
        <w:t xml:space="preserve"> </w:t>
      </w:r>
    </w:p>
    <w:p w:rsidR="008B6EDA" w:rsidRPr="009C1663" w:rsidRDefault="00621C75" w:rsidP="008D62C3">
      <w:r w:rsidRPr="009C1663">
        <w:t xml:space="preserve">While the </w:t>
      </w:r>
      <w:r w:rsidR="00C2289B">
        <w:t xml:space="preserve">feminist </w:t>
      </w:r>
      <w:r w:rsidRPr="009C1663">
        <w:t xml:space="preserve">fear of losing the precarious spaces that have been carved out for </w:t>
      </w:r>
      <w:r w:rsidR="002040D2" w:rsidRPr="009C1663">
        <w:t xml:space="preserve">addressing </w:t>
      </w:r>
      <w:r w:rsidRPr="009C1663">
        <w:t>women’s human right</w:t>
      </w:r>
      <w:r w:rsidR="00D3499A">
        <w:t xml:space="preserve">s </w:t>
      </w:r>
      <w:r w:rsidR="00BB3A5C">
        <w:t xml:space="preserve">abuses </w:t>
      </w:r>
      <w:r w:rsidR="00D3499A">
        <w:t>is</w:t>
      </w:r>
      <w:r w:rsidR="00D97D59">
        <w:t xml:space="preserve"> not without substance</w:t>
      </w:r>
      <w:r w:rsidR="00D3499A">
        <w:t xml:space="preserve">, it is my view, as a feminist, </w:t>
      </w:r>
      <w:r w:rsidRPr="009C1663">
        <w:t xml:space="preserve">that </w:t>
      </w:r>
      <w:r w:rsidR="00BB3A5C">
        <w:t xml:space="preserve">those spaces </w:t>
      </w:r>
      <w:r w:rsidRPr="009C1663">
        <w:t xml:space="preserve">can </w:t>
      </w:r>
      <w:r w:rsidR="00BB3A5C">
        <w:t xml:space="preserve">be </w:t>
      </w:r>
      <w:r w:rsidRPr="009C1663">
        <w:t>better protect</w:t>
      </w:r>
      <w:r w:rsidR="00BB3A5C">
        <w:t>ed</w:t>
      </w:r>
      <w:r w:rsidRPr="009C1663">
        <w:t xml:space="preserve"> by relinquishing the view of gendered power</w:t>
      </w:r>
      <w:r w:rsidR="00092655" w:rsidRPr="00092655">
        <w:t xml:space="preserve"> </w:t>
      </w:r>
      <w:r w:rsidR="00092655">
        <w:t xml:space="preserve">as </w:t>
      </w:r>
      <w:r w:rsidR="00092C0C">
        <w:t xml:space="preserve">always dualistic (m/f) </w:t>
      </w:r>
      <w:r w:rsidR="00092655" w:rsidRPr="009C1663">
        <w:t>and</w:t>
      </w:r>
      <w:r w:rsidR="00092C0C">
        <w:t xml:space="preserve"> </w:t>
      </w:r>
      <w:r w:rsidR="00D86073">
        <w:t xml:space="preserve">only ever </w:t>
      </w:r>
      <w:r w:rsidR="00092C0C">
        <w:t>hierarchically organized in men’s favour (m&gt;f)</w:t>
      </w:r>
      <w:r w:rsidR="008B6EDA">
        <w:t>, and jettisoning the fiction of a biological foundation</w:t>
      </w:r>
      <w:r w:rsidR="00E375B9">
        <w:t>. I</w:t>
      </w:r>
      <w:r w:rsidR="00092C0C">
        <w:t>nstead</w:t>
      </w:r>
      <w:r w:rsidR="00337BBE">
        <w:t xml:space="preserve"> </w:t>
      </w:r>
      <w:r w:rsidR="008B6EDA">
        <w:t>gender should</w:t>
      </w:r>
      <w:r w:rsidR="00E375B9">
        <w:t xml:space="preserve"> be </w:t>
      </w:r>
      <w:r w:rsidR="00EB79A8" w:rsidRPr="00EB79A8">
        <w:t xml:space="preserve">understood queerly as performative, as constituted and made intelligible by regulatory social norms, which govern the </w:t>
      </w:r>
      <w:r w:rsidR="003D5C7B">
        <w:t xml:space="preserve">naturalization </w:t>
      </w:r>
      <w:r w:rsidR="00EB79A8" w:rsidRPr="00EB79A8">
        <w:t xml:space="preserve">of bodies and the assumption of sexed identities, </w:t>
      </w:r>
      <w:r w:rsidR="00E375B9">
        <w:t>while also providing the means of their contestation</w:t>
      </w:r>
      <w:r w:rsidRPr="009C1663">
        <w:t>.</w:t>
      </w:r>
      <w:r w:rsidR="00E375B9">
        <w:rPr>
          <w:rStyle w:val="FootnoteReference"/>
        </w:rPr>
        <w:footnoteReference w:id="59"/>
      </w:r>
      <w:r w:rsidR="007D4357">
        <w:t xml:space="preserve"> As Brenda Cossman</w:t>
      </w:r>
      <w:r w:rsidR="00BB3A5C">
        <w:t xml:space="preserve"> argues</w:t>
      </w:r>
      <w:r w:rsidR="007D4357">
        <w:t>, ‘[</w:t>
      </w:r>
      <w:r w:rsidR="00BF370C">
        <w:t>performativity]</w:t>
      </w:r>
      <w:r w:rsidR="007D4357">
        <w:t xml:space="preserve"> would allow us to tell a story of marginality that has not yet been told’.</w:t>
      </w:r>
      <w:r w:rsidR="007D4357">
        <w:rPr>
          <w:rStyle w:val="FootnoteReference"/>
        </w:rPr>
        <w:footnoteReference w:id="60"/>
      </w:r>
      <w:r w:rsidRPr="009C1663">
        <w:t xml:space="preserve"> </w:t>
      </w:r>
      <w:r w:rsidR="003847A0">
        <w:t>If the CEDAW Committee were to embrace the transformative opportunities presented by articles 2(f) and 5(a)</w:t>
      </w:r>
      <w:r w:rsidR="00092C0C">
        <w:t xml:space="preserve">, and </w:t>
      </w:r>
      <w:r w:rsidR="003D5C7B">
        <w:t xml:space="preserve">entirely </w:t>
      </w:r>
      <w:r w:rsidR="00092C0C">
        <w:t>replace</w:t>
      </w:r>
      <w:r w:rsidRPr="009C1663">
        <w:t xml:space="preserve"> </w:t>
      </w:r>
      <w:r w:rsidR="008B6EDA">
        <w:t>(bio)</w:t>
      </w:r>
      <w:r w:rsidR="00573F1F">
        <w:t>logic with</w:t>
      </w:r>
      <w:r w:rsidR="008B6EDA">
        <w:t xml:space="preserve"> performative </w:t>
      </w:r>
      <w:r w:rsidR="00337BBE">
        <w:t>conceptions of</w:t>
      </w:r>
      <w:r w:rsidR="003D5C7B">
        <w:t xml:space="preserve"> sex</w:t>
      </w:r>
      <w:r w:rsidR="00F76AA4">
        <w:t xml:space="preserve">, while </w:t>
      </w:r>
      <w:r w:rsidR="00D86073">
        <w:t xml:space="preserve">staying </w:t>
      </w:r>
      <w:r w:rsidR="00092C0C">
        <w:t xml:space="preserve">alert to the </w:t>
      </w:r>
      <w:r w:rsidR="00F76AA4">
        <w:t xml:space="preserve">multiple </w:t>
      </w:r>
      <w:r w:rsidR="00092C0C">
        <w:t xml:space="preserve">arrangements of </w:t>
      </w:r>
      <w:r w:rsidR="00F76AA4">
        <w:t xml:space="preserve">unequal </w:t>
      </w:r>
      <w:r w:rsidR="00092C0C">
        <w:t xml:space="preserve">power that can result, </w:t>
      </w:r>
      <w:r w:rsidR="00F76AA4">
        <w:t>it would make a powerful contribution to a truly liberatory social transformation.</w:t>
      </w:r>
      <w:r w:rsidR="00F76AA4" w:rsidRPr="009C1663">
        <w:t xml:space="preserve"> </w:t>
      </w:r>
      <w:r w:rsidR="00F76AA4">
        <w:t>Interpreting CEDAW in this way would provide</w:t>
      </w:r>
      <w:r w:rsidRPr="009C1663">
        <w:t xml:space="preserve"> a better means of troubling the persistent reproduction of protective</w:t>
      </w:r>
      <w:r w:rsidR="00573F1F">
        <w:t xml:space="preserve"> and</w:t>
      </w:r>
      <w:r w:rsidRPr="009C1663">
        <w:t xml:space="preserve"> victimized representations of women</w:t>
      </w:r>
      <w:r w:rsidR="002040D2" w:rsidRPr="009C1663">
        <w:t xml:space="preserve"> that </w:t>
      </w:r>
      <w:r w:rsidR="004821AB" w:rsidRPr="009C1663">
        <w:lastRenderedPageBreak/>
        <w:t>continue to proliferate in international law</w:t>
      </w:r>
      <w:r w:rsidR="00F76AA4">
        <w:t xml:space="preserve">, as well </w:t>
      </w:r>
      <w:r w:rsidR="00564043">
        <w:t xml:space="preserve">as develop </w:t>
      </w:r>
      <w:r w:rsidR="00F76AA4">
        <w:t xml:space="preserve">a fuller account of </w:t>
      </w:r>
      <w:r w:rsidR="00BA30AD">
        <w:t xml:space="preserve">the diversity of </w:t>
      </w:r>
      <w:r w:rsidR="00F76AA4">
        <w:t>gendered relations of power and the</w:t>
      </w:r>
      <w:r w:rsidR="00564043">
        <w:t xml:space="preserve"> </w:t>
      </w:r>
      <w:r w:rsidR="008B6EDA">
        <w:t xml:space="preserve">heteronormative </w:t>
      </w:r>
      <w:r w:rsidR="00F76AA4">
        <w:t>interests they serve</w:t>
      </w:r>
      <w:r w:rsidRPr="009C1663">
        <w:t>.</w:t>
      </w:r>
      <w:r w:rsidR="003847A0" w:rsidRPr="003847A0">
        <w:t xml:space="preserve"> </w:t>
      </w:r>
    </w:p>
    <w:p w:rsidR="00394571" w:rsidRPr="00C77B30" w:rsidRDefault="00B71DE8" w:rsidP="00C77B30">
      <w:pPr>
        <w:pStyle w:val="ListParagraph"/>
        <w:numPr>
          <w:ilvl w:val="0"/>
          <w:numId w:val="21"/>
        </w:numPr>
        <w:rPr>
          <w:b/>
        </w:rPr>
      </w:pPr>
      <w:r w:rsidRPr="00C77B30">
        <w:rPr>
          <w:b/>
        </w:rPr>
        <w:t>Queer Utilizations of the Language of Gender</w:t>
      </w:r>
    </w:p>
    <w:p w:rsidR="002E276D" w:rsidRDefault="00A361F7" w:rsidP="008D62C3">
      <w:r w:rsidRPr="009C1663">
        <w:t xml:space="preserve">Compared with </w:t>
      </w:r>
      <w:r w:rsidR="00D06CA8">
        <w:t xml:space="preserve">the </w:t>
      </w:r>
      <w:r w:rsidR="00BC4C30">
        <w:t xml:space="preserve">reluctance </w:t>
      </w:r>
      <w:r>
        <w:t>of the CEDAW Committee</w:t>
      </w:r>
      <w:r w:rsidR="00BC4C30">
        <w:t xml:space="preserve"> and many feminists</w:t>
      </w:r>
      <w:r>
        <w:t xml:space="preserve">, </w:t>
      </w:r>
      <w:r w:rsidRPr="009C1663">
        <w:t xml:space="preserve">and </w:t>
      </w:r>
      <w:r>
        <w:t xml:space="preserve">indeed </w:t>
      </w:r>
      <w:r w:rsidRPr="009C1663">
        <w:t xml:space="preserve">the </w:t>
      </w:r>
      <w:r w:rsidR="00BC4C30" w:rsidRPr="009C1663">
        <w:t>cauti</w:t>
      </w:r>
      <w:r w:rsidR="00BC4C30">
        <w:t xml:space="preserve">ousness of the </w:t>
      </w:r>
      <w:r w:rsidRPr="009C1663">
        <w:t xml:space="preserve">other human rights treaty bodies </w:t>
      </w:r>
      <w:r w:rsidR="00834170" w:rsidRPr="003D5C7B">
        <w:t>in the context</w:t>
      </w:r>
      <w:r w:rsidRPr="003D5C7B">
        <w:t xml:space="preserve"> </w:t>
      </w:r>
      <w:r w:rsidR="00EB79A8" w:rsidRPr="00EB79A8">
        <w:t>of women’s rights and gender mainstreaming</w:t>
      </w:r>
      <w:r w:rsidRPr="003D5C7B">
        <w:t xml:space="preserve">, </w:t>
      </w:r>
      <w:r w:rsidR="004821AB" w:rsidRPr="009C1663">
        <w:t xml:space="preserve">human rights advocates </w:t>
      </w:r>
      <w:r w:rsidR="001564F0" w:rsidRPr="003D5C7B">
        <w:t>in the context of promoting GLBTI rights</w:t>
      </w:r>
      <w:r w:rsidR="004821AB" w:rsidRPr="009C1663">
        <w:t xml:space="preserve"> have</w:t>
      </w:r>
      <w:r w:rsidR="00C8244E">
        <w:t xml:space="preserve"> </w:t>
      </w:r>
      <w:r w:rsidR="00D06CA8">
        <w:t xml:space="preserve">been more open to </w:t>
      </w:r>
      <w:r w:rsidR="004821AB" w:rsidRPr="009C1663">
        <w:t>explor</w:t>
      </w:r>
      <w:r w:rsidR="00D06CA8">
        <w:t>ing</w:t>
      </w:r>
      <w:r w:rsidR="004821AB" w:rsidRPr="009C1663">
        <w:t xml:space="preserve"> the new openings for recognition and inclusion presented by the language of gender. </w:t>
      </w:r>
      <w:r>
        <w:t>M</w:t>
      </w:r>
      <w:r w:rsidR="00337BBE">
        <w:t xml:space="preserve">any </w:t>
      </w:r>
      <w:r w:rsidR="002E276D" w:rsidRPr="009C1663">
        <w:t>of the Special Procedures of the Human Rights Council</w:t>
      </w:r>
      <w:r w:rsidR="00DF43AD">
        <w:t xml:space="preserve"> (HRC)</w:t>
      </w:r>
      <w:r w:rsidR="002E276D" w:rsidRPr="009C1663">
        <w:t xml:space="preserve"> (</w:t>
      </w:r>
      <w:r w:rsidR="0075568A">
        <w:t xml:space="preserve">and its predecessor, </w:t>
      </w:r>
      <w:r w:rsidR="002E276D" w:rsidRPr="009C1663">
        <w:t xml:space="preserve">the Commission on Human Rights) </w:t>
      </w:r>
      <w:r w:rsidR="00C552AC">
        <w:t xml:space="preserve">have </w:t>
      </w:r>
      <w:r w:rsidR="00337BBE">
        <w:t xml:space="preserve">moved </w:t>
      </w:r>
      <w:r w:rsidR="00587B81" w:rsidRPr="009C1663">
        <w:t>intrepidly</w:t>
      </w:r>
      <w:r w:rsidR="00D74E5A" w:rsidRPr="009C1663">
        <w:t xml:space="preserve"> to</w:t>
      </w:r>
      <w:r w:rsidR="002E276D" w:rsidRPr="009C1663">
        <w:t xml:space="preserve"> </w:t>
      </w:r>
      <w:r w:rsidR="00D74E5A" w:rsidRPr="009C1663">
        <w:t xml:space="preserve">break free from </w:t>
      </w:r>
      <w:r w:rsidR="0029042F" w:rsidRPr="009C1663">
        <w:t>the orthodoxies of</w:t>
      </w:r>
      <w:r w:rsidR="00337BBE">
        <w:t xml:space="preserve"> </w:t>
      </w:r>
      <w:r w:rsidR="002335D6">
        <w:t xml:space="preserve">dualistic </w:t>
      </w:r>
      <w:r w:rsidR="00A04915">
        <w:t xml:space="preserve">(m/f) </w:t>
      </w:r>
      <w:r w:rsidR="00C8244E">
        <w:t>sex/</w:t>
      </w:r>
      <w:r w:rsidR="002E276D" w:rsidRPr="009C1663">
        <w:t>gender</w:t>
      </w:r>
      <w:r w:rsidR="00C8244E">
        <w:t xml:space="preserve"> </w:t>
      </w:r>
      <w:r w:rsidR="002335D6">
        <w:t>in addressing human rights abuses related to sexual orientation and gender identity</w:t>
      </w:r>
      <w:r w:rsidR="00681C71">
        <w:t xml:space="preserve">. </w:t>
      </w:r>
      <w:r w:rsidR="002335D6">
        <w:t>The first f</w:t>
      </w:r>
      <w:r w:rsidR="00146785">
        <w:t>ormal r</w:t>
      </w:r>
      <w:r w:rsidR="002E276D" w:rsidRPr="009C1663">
        <w:t xml:space="preserve">eferences to </w:t>
      </w:r>
      <w:r w:rsidR="00146785">
        <w:t>human rights abuses suffered by transgendered people</w:t>
      </w:r>
      <w:r w:rsidR="002E276D" w:rsidRPr="009C1663">
        <w:t xml:space="preserve"> were made in 2001 by the Special Rapporteur on the question of torture</w:t>
      </w:r>
      <w:r w:rsidR="002E276D" w:rsidRPr="009C1663">
        <w:rPr>
          <w:rStyle w:val="FootnoteReference"/>
          <w:rFonts w:cstheme="minorHAnsi"/>
        </w:rPr>
        <w:footnoteReference w:id="61"/>
      </w:r>
      <w:r w:rsidR="002E276D" w:rsidRPr="009C1663">
        <w:t xml:space="preserve"> and the Special Rapporteur on extrajudicial, arbitrary and summary executions</w:t>
      </w:r>
      <w:r w:rsidR="00553183">
        <w:t>.</w:t>
      </w:r>
      <w:r w:rsidR="002E276D" w:rsidRPr="009C1663">
        <w:rPr>
          <w:rStyle w:val="FootnoteReference"/>
          <w:rFonts w:cstheme="minorHAnsi"/>
        </w:rPr>
        <w:footnoteReference w:id="62"/>
      </w:r>
      <w:r>
        <w:t xml:space="preserve"> In the following years</w:t>
      </w:r>
      <w:r w:rsidR="002E276D" w:rsidRPr="009C1663">
        <w:t xml:space="preserve">, other Special Procedures </w:t>
      </w:r>
      <w:r w:rsidR="00146785">
        <w:t>have</w:t>
      </w:r>
      <w:r w:rsidR="002335D6">
        <w:t xml:space="preserve"> also</w:t>
      </w:r>
      <w:r w:rsidR="00146785">
        <w:t xml:space="preserve"> </w:t>
      </w:r>
      <w:r w:rsidR="002E276D" w:rsidRPr="009C1663">
        <w:t xml:space="preserve">expressed concern about gender-based discrimination outside the </w:t>
      </w:r>
      <w:r w:rsidR="00587B81">
        <w:t xml:space="preserve">(bio)logic of </w:t>
      </w:r>
      <w:r w:rsidR="002E276D" w:rsidRPr="009C1663">
        <w:t>m/f</w:t>
      </w:r>
      <w:r w:rsidR="00337BBE">
        <w:t>.</w:t>
      </w:r>
      <w:r w:rsidR="00337BBE">
        <w:rPr>
          <w:rStyle w:val="FootnoteReference"/>
        </w:rPr>
        <w:footnoteReference w:id="63"/>
      </w:r>
      <w:r w:rsidR="00337BBE">
        <w:t xml:space="preserve"> </w:t>
      </w:r>
      <w:r w:rsidR="002E276D" w:rsidRPr="009C1663">
        <w:t>Th</w:t>
      </w:r>
      <w:r w:rsidR="007E29CE">
        <w:t xml:space="preserve">is </w:t>
      </w:r>
      <w:r w:rsidR="002E276D" w:rsidRPr="009C1663">
        <w:t>work has been heavily reliant on human rights NGOs</w:t>
      </w:r>
      <w:r w:rsidR="002E276D" w:rsidRPr="009C1663">
        <w:rPr>
          <w:rStyle w:val="FootnoteReference"/>
          <w:rFonts w:cstheme="minorHAnsi"/>
        </w:rPr>
        <w:footnoteReference w:id="64"/>
      </w:r>
      <w:r w:rsidR="002E276D" w:rsidRPr="009C1663">
        <w:t xml:space="preserve"> </w:t>
      </w:r>
      <w:r w:rsidR="001D6B8E">
        <w:t xml:space="preserve">and </w:t>
      </w:r>
      <w:r w:rsidRPr="009C1663">
        <w:t xml:space="preserve">activists from affected communities </w:t>
      </w:r>
      <w:r w:rsidR="00146785">
        <w:t>who have</w:t>
      </w:r>
      <w:r w:rsidR="002E276D" w:rsidRPr="009C1663">
        <w:t xml:space="preserve"> provide</w:t>
      </w:r>
      <w:r w:rsidR="00146785">
        <w:t>d detailed</w:t>
      </w:r>
      <w:r w:rsidR="002E276D" w:rsidRPr="009C1663">
        <w:t xml:space="preserve"> </w:t>
      </w:r>
      <w:r w:rsidR="00A04915">
        <w:t>evidence of abuses</w:t>
      </w:r>
      <w:r w:rsidR="002E276D" w:rsidRPr="009C1663">
        <w:t xml:space="preserve">, often </w:t>
      </w:r>
      <w:r w:rsidR="002E276D" w:rsidRPr="009C1663">
        <w:lastRenderedPageBreak/>
        <w:t>at great personal risk.</w:t>
      </w:r>
      <w:r w:rsidR="00C8244E">
        <w:rPr>
          <w:rStyle w:val="FootnoteReference"/>
        </w:rPr>
        <w:footnoteReference w:id="65"/>
      </w:r>
      <w:r w:rsidR="002E276D" w:rsidRPr="009C1663">
        <w:t xml:space="preserve"> One of my activist inf</w:t>
      </w:r>
      <w:r>
        <w:t>ormants told me recently that GL</w:t>
      </w:r>
      <w:r w:rsidR="002E276D" w:rsidRPr="009C1663">
        <w:t xml:space="preserve">BTI advocacy at the </w:t>
      </w:r>
      <w:r w:rsidR="00DF43AD">
        <w:t xml:space="preserve">HRC </w:t>
      </w:r>
      <w:r w:rsidR="002E276D" w:rsidRPr="009C1663">
        <w:t>has become as ubiquitous as advocacy for the rights of indigenous peoples</w:t>
      </w:r>
      <w:r w:rsidR="00092655">
        <w:rPr>
          <w:rStyle w:val="FootnoteReference"/>
        </w:rPr>
        <w:footnoteReference w:id="66"/>
      </w:r>
      <w:r w:rsidR="002E276D" w:rsidRPr="009C1663">
        <w:t xml:space="preserve"> – courage indeed</w:t>
      </w:r>
      <w:r w:rsidR="0075568A">
        <w:t xml:space="preserve"> given the hostility that many </w:t>
      </w:r>
      <w:r w:rsidR="00DF43AD">
        <w:t xml:space="preserve">HRC </w:t>
      </w:r>
      <w:r w:rsidR="0075568A">
        <w:t xml:space="preserve">members </w:t>
      </w:r>
      <w:r w:rsidR="00146785">
        <w:t xml:space="preserve">continue to </w:t>
      </w:r>
      <w:r w:rsidR="0075568A">
        <w:t>express.</w:t>
      </w:r>
      <w:r w:rsidR="002335D6">
        <w:t xml:space="preserve"> </w:t>
      </w:r>
      <w:r w:rsidR="00DF43AD">
        <w:t xml:space="preserve">Supporting these developments, the </w:t>
      </w:r>
      <w:r w:rsidR="00DF43AD" w:rsidRPr="009C1663">
        <w:t>O</w:t>
      </w:r>
      <w:r w:rsidR="00DF43AD">
        <w:t>ffice of the High Commissioner for Human Rights released a report in 2012 that sets out the core obligations that states have towards LGBT people</w:t>
      </w:r>
      <w:r w:rsidR="00DF43AD" w:rsidRPr="009C1663">
        <w:rPr>
          <w:rStyle w:val="FootnoteReference"/>
          <w:rFonts w:cstheme="minorHAnsi"/>
        </w:rPr>
        <w:footnoteReference w:id="67"/>
      </w:r>
      <w:r w:rsidR="00DF43AD">
        <w:t xml:space="preserve"> and launched</w:t>
      </w:r>
      <w:r w:rsidR="00A04915">
        <w:t xml:space="preserve"> </w:t>
      </w:r>
      <w:r w:rsidR="00DF43AD">
        <w:t xml:space="preserve">a </w:t>
      </w:r>
      <w:r w:rsidR="00DF43AD" w:rsidRPr="009C1663">
        <w:t>global campaign</w:t>
      </w:r>
      <w:r w:rsidR="00DF43AD">
        <w:t xml:space="preserve"> in 2013 to</w:t>
      </w:r>
      <w:r w:rsidR="00DF43AD" w:rsidRPr="009C1663">
        <w:t xml:space="preserve"> </w:t>
      </w:r>
      <w:r w:rsidR="00DF43AD">
        <w:t>promote</w:t>
      </w:r>
      <w:r w:rsidR="00DF43AD" w:rsidRPr="009C1663">
        <w:t xml:space="preserve"> </w:t>
      </w:r>
      <w:r w:rsidR="00DF43AD">
        <w:t>awareness of discrimination based on sexual orientation and gender identity.</w:t>
      </w:r>
      <w:r w:rsidR="00DF43AD">
        <w:rPr>
          <w:rStyle w:val="FootnoteReference"/>
        </w:rPr>
        <w:footnoteReference w:id="68"/>
      </w:r>
      <w:r w:rsidR="00DF43AD">
        <w:t xml:space="preserve"> Even the World Bank has extended its social inclusion agenda to address exclusion based on sexual orientation and gender identity.</w:t>
      </w:r>
      <w:r w:rsidR="00DF43AD">
        <w:rPr>
          <w:rStyle w:val="FootnoteReference"/>
        </w:rPr>
        <w:footnoteReference w:id="69"/>
      </w:r>
      <w:r w:rsidR="00DF43AD">
        <w:t xml:space="preserve"> </w:t>
      </w:r>
      <w:r w:rsidR="002335D6">
        <w:t>But</w:t>
      </w:r>
      <w:r w:rsidR="00681C71">
        <w:t xml:space="preserve"> we have yet to see a Special Procedures report devoted specifically to human rights violations that are associated with gender identity, which would provide the opportunity to acknowledge and draw links between the experiences, not only of transgendered people</w:t>
      </w:r>
      <w:r w:rsidR="00146785">
        <w:t xml:space="preserve"> around the world</w:t>
      </w:r>
      <w:r w:rsidR="00681C71">
        <w:t xml:space="preserve">, but also </w:t>
      </w:r>
      <w:r w:rsidR="00146785">
        <w:t xml:space="preserve">those many </w:t>
      </w:r>
      <w:r w:rsidR="00681C71">
        <w:t>others who suffer violence and discrimination because of their gender</w:t>
      </w:r>
      <w:r w:rsidR="002335D6">
        <w:t xml:space="preserve"> performativity</w:t>
      </w:r>
      <w:r w:rsidR="00681C71">
        <w:t xml:space="preserve">, </w:t>
      </w:r>
      <w:r w:rsidR="002335D6">
        <w:t xml:space="preserve">including </w:t>
      </w:r>
      <w:r w:rsidR="00681C71">
        <w:t>cismen and ciswomen</w:t>
      </w:r>
      <w:r w:rsidR="00681C71" w:rsidRPr="009C1663">
        <w:t>.</w:t>
      </w:r>
      <w:r w:rsidR="00FF6AB4">
        <w:t xml:space="preserve"> Such a report</w:t>
      </w:r>
      <w:r w:rsidR="002335D6">
        <w:t xml:space="preserve"> would provide an important opportunity to confront the (un)realities of (bio)logic</w:t>
      </w:r>
      <w:r w:rsidR="003D5C7B">
        <w:t xml:space="preserve"> in international law</w:t>
      </w:r>
      <w:r w:rsidR="002335D6">
        <w:t>.</w:t>
      </w:r>
    </w:p>
    <w:p w:rsidR="00A04915" w:rsidRDefault="005E21CA" w:rsidP="008D62C3">
      <w:r>
        <w:t>Even so,</w:t>
      </w:r>
      <w:r w:rsidR="002335D6">
        <w:t xml:space="preserve"> </w:t>
      </w:r>
      <w:r w:rsidR="00A04915">
        <w:t xml:space="preserve">controversy has plagued </w:t>
      </w:r>
      <w:r w:rsidR="002335D6">
        <w:t xml:space="preserve">these developments, which </w:t>
      </w:r>
      <w:r w:rsidR="008E2CAF">
        <w:t xml:space="preserve">quickly </w:t>
      </w:r>
      <w:r>
        <w:t>came to symbolize</w:t>
      </w:r>
      <w:r w:rsidR="00DF43AD">
        <w:t xml:space="preserve"> </w:t>
      </w:r>
      <w:r w:rsidR="002335D6">
        <w:t xml:space="preserve">a </w:t>
      </w:r>
      <w:r w:rsidR="003D5C7B">
        <w:t>geo-</w:t>
      </w:r>
      <w:r w:rsidR="008E2CAF">
        <w:t xml:space="preserve">political </w:t>
      </w:r>
      <w:r w:rsidR="002335D6">
        <w:t xml:space="preserve">divide </w:t>
      </w:r>
      <w:r w:rsidR="008E2CAF">
        <w:t>between the purported liberality of the west and illiberalism of the (Muslim) non-west.</w:t>
      </w:r>
      <w:bookmarkStart w:id="16" w:name="_Ref431740381"/>
      <w:r w:rsidR="008175C2">
        <w:rPr>
          <w:rStyle w:val="FootnoteReference"/>
        </w:rPr>
        <w:footnoteReference w:id="70"/>
      </w:r>
      <w:bookmarkEnd w:id="16"/>
      <w:r w:rsidR="008E2CAF">
        <w:t xml:space="preserve"> </w:t>
      </w:r>
      <w:r w:rsidR="00587B81">
        <w:t xml:space="preserve">(It is worth noting </w:t>
      </w:r>
      <w:r w:rsidR="00A04915">
        <w:t xml:space="preserve">here </w:t>
      </w:r>
      <w:r w:rsidR="00587B81">
        <w:t xml:space="preserve">that all three instances </w:t>
      </w:r>
      <w:r w:rsidR="00A04915">
        <w:t>of</w:t>
      </w:r>
      <w:r w:rsidR="00587B81">
        <w:t xml:space="preserve"> the CEDAW Committee rai</w:t>
      </w:r>
      <w:r w:rsidR="00A04915">
        <w:t>sing</w:t>
      </w:r>
      <w:r w:rsidR="00587B81">
        <w:t xml:space="preserve"> concern about transgender issues in Concluding Observations</w:t>
      </w:r>
      <w:r w:rsidR="00A04915">
        <w:t>, mentioned earlier,</w:t>
      </w:r>
      <w:r w:rsidR="00587B81">
        <w:t xml:space="preserve"> involved western European states). </w:t>
      </w:r>
      <w:r w:rsidR="00B12734">
        <w:t>T</w:t>
      </w:r>
      <w:r w:rsidR="00B12734" w:rsidRPr="009C1663">
        <w:t xml:space="preserve">he </w:t>
      </w:r>
      <w:r w:rsidR="00B12734">
        <w:t xml:space="preserve">first </w:t>
      </w:r>
      <w:r w:rsidR="00146785">
        <w:t xml:space="preserve">official </w:t>
      </w:r>
      <w:r w:rsidR="00B12734">
        <w:t xml:space="preserve">use of the term </w:t>
      </w:r>
      <w:r w:rsidR="00B12734" w:rsidRPr="009C1663">
        <w:lastRenderedPageBreak/>
        <w:t xml:space="preserve">‘gender identity’ </w:t>
      </w:r>
      <w:r w:rsidR="00B12734">
        <w:t xml:space="preserve">by </w:t>
      </w:r>
      <w:r w:rsidR="008E2CAF">
        <w:t xml:space="preserve">a collectivity of </w:t>
      </w:r>
      <w:r w:rsidR="00B12734">
        <w:t xml:space="preserve">states (rather than human rights experts) </w:t>
      </w:r>
      <w:r w:rsidR="00146785">
        <w:t>in a UN</w:t>
      </w:r>
      <w:r w:rsidR="00B12734">
        <w:t xml:space="preserve"> document was in 2006, in a Joint Statement to the </w:t>
      </w:r>
      <w:r w:rsidR="00DF43AD">
        <w:t>HRC</w:t>
      </w:r>
      <w:r w:rsidR="00B12734">
        <w:t>, made on behalf of fifty-four states</w:t>
      </w:r>
      <w:r w:rsidR="00ED509A">
        <w:t xml:space="preserve"> (</w:t>
      </w:r>
      <w:r w:rsidR="008E2CAF">
        <w:t xml:space="preserve">eighteen </w:t>
      </w:r>
      <w:r w:rsidR="008175C2">
        <w:t>were HRC members)</w:t>
      </w:r>
      <w:r w:rsidR="00B12734">
        <w:t>.</w:t>
      </w:r>
      <w:r w:rsidR="00B12734">
        <w:rPr>
          <w:rStyle w:val="FootnoteReference"/>
        </w:rPr>
        <w:footnoteReference w:id="71"/>
      </w:r>
      <w:r w:rsidR="00B12734" w:rsidRPr="009C1663">
        <w:t xml:space="preserve"> </w:t>
      </w:r>
      <w:r w:rsidR="001D6B8E">
        <w:t>In 2008, a group of sixty-six states made a</w:t>
      </w:r>
      <w:r w:rsidR="00EE2652">
        <w:t>nother</w:t>
      </w:r>
      <w:r w:rsidR="001D6B8E">
        <w:t xml:space="preserve"> Statement on </w:t>
      </w:r>
      <w:r w:rsidR="00F4698B">
        <w:t>‘Human rights, s</w:t>
      </w:r>
      <w:r w:rsidR="001D6B8E">
        <w:t xml:space="preserve">exual </w:t>
      </w:r>
      <w:r w:rsidR="00F4698B">
        <w:t>o</w:t>
      </w:r>
      <w:r w:rsidR="001D6B8E">
        <w:t xml:space="preserve">rientation </w:t>
      </w:r>
      <w:r w:rsidR="00F4698B">
        <w:t>and gender i</w:t>
      </w:r>
      <w:r w:rsidR="001D6B8E">
        <w:t>dentity</w:t>
      </w:r>
      <w:r w:rsidR="00F4698B">
        <w:t>’</w:t>
      </w:r>
      <w:r w:rsidR="001D6B8E">
        <w:t xml:space="preserve"> to the General Assembly calling for decriminalization and </w:t>
      </w:r>
      <w:r w:rsidR="00F4698B">
        <w:t>protection from discrimination and violence,</w:t>
      </w:r>
      <w:r w:rsidR="001D6B8E">
        <w:rPr>
          <w:rStyle w:val="FootnoteReference"/>
        </w:rPr>
        <w:footnoteReference w:id="72"/>
      </w:r>
      <w:r w:rsidR="00F4698B">
        <w:t xml:space="preserve"> </w:t>
      </w:r>
      <w:r w:rsidR="008E2CAF">
        <w:t xml:space="preserve">which prompted </w:t>
      </w:r>
      <w:r w:rsidR="00F4698B">
        <w:t>an opposing Statement read by Syria</w:t>
      </w:r>
      <w:r w:rsidR="008E2CAF">
        <w:t>,</w:t>
      </w:r>
      <w:r w:rsidR="00F4698B">
        <w:t xml:space="preserve"> on behalf of fifty-seven states</w:t>
      </w:r>
      <w:r w:rsidR="008E2CAF">
        <w:t>,</w:t>
      </w:r>
      <w:r w:rsidR="00F4698B">
        <w:t xml:space="preserve"> </w:t>
      </w:r>
      <w:r w:rsidR="00BF1DB8">
        <w:t xml:space="preserve">completely </w:t>
      </w:r>
      <w:r w:rsidR="00F4698B">
        <w:t>rejecting the ‘so-called notions’ of sexual orientation and gender identity</w:t>
      </w:r>
      <w:r w:rsidR="003C2C84">
        <w:t xml:space="preserve"> which ‘have no legal foundations in any international human rights instruments’</w:t>
      </w:r>
      <w:r w:rsidR="00F4698B">
        <w:t>.</w:t>
      </w:r>
      <w:r w:rsidR="00F4698B">
        <w:rPr>
          <w:rStyle w:val="FootnoteReference"/>
        </w:rPr>
        <w:footnoteReference w:id="73"/>
      </w:r>
      <w:r w:rsidR="00373ABF" w:rsidRPr="00373ABF">
        <w:t xml:space="preserve"> </w:t>
      </w:r>
    </w:p>
    <w:p w:rsidR="00DF43AD" w:rsidRDefault="008E2CAF" w:rsidP="008D62C3">
      <w:pPr>
        <w:rPr>
          <w:lang w:val="en-AU"/>
        </w:rPr>
      </w:pPr>
      <w:r>
        <w:t>I</w:t>
      </w:r>
      <w:r w:rsidR="00587B81">
        <w:t xml:space="preserve">t was not until </w:t>
      </w:r>
      <w:r>
        <w:t>2011</w:t>
      </w:r>
      <w:r w:rsidR="00587B81">
        <w:t xml:space="preserve"> that</w:t>
      </w:r>
      <w:r>
        <w:t xml:space="preserve"> </w:t>
      </w:r>
      <w:r w:rsidR="00DF43AD">
        <w:t>the HRC</w:t>
      </w:r>
      <w:r>
        <w:t xml:space="preserve"> managed to </w:t>
      </w:r>
      <w:r w:rsidR="00DF43AD">
        <w:t>adopt its</w:t>
      </w:r>
      <w:r>
        <w:t xml:space="preserve"> first resolution (by a narrow margin) which expressed ‘grave concern’ about violence and discrimination directed at individuals based on their sexual orientation or gender identity and called for a global study of such discriminatory laws and practices</w:t>
      </w:r>
      <w:r w:rsidR="008175C2">
        <w:t>,</w:t>
      </w:r>
      <w:r w:rsidR="00ED509A">
        <w:rPr>
          <w:rStyle w:val="FootnoteReference"/>
        </w:rPr>
        <w:footnoteReference w:id="74"/>
      </w:r>
      <w:r w:rsidR="00DF43AD">
        <w:t xml:space="preserve"> which was completed later that year.</w:t>
      </w:r>
      <w:r>
        <w:rPr>
          <w:rStyle w:val="FootnoteReference"/>
        </w:rPr>
        <w:footnoteReference w:id="75"/>
      </w:r>
      <w:r>
        <w:t xml:space="preserve"> </w:t>
      </w:r>
      <w:r w:rsidR="00DF43AD">
        <w:t xml:space="preserve">In 2014 the still deeply divided HRC adopted </w:t>
      </w:r>
      <w:r w:rsidR="00050F97">
        <w:t xml:space="preserve">a follow-up </w:t>
      </w:r>
      <w:r w:rsidR="00DF43AD">
        <w:t>resolution</w:t>
      </w:r>
      <w:r w:rsidR="00050F97">
        <w:t xml:space="preserve"> calling </w:t>
      </w:r>
      <w:r w:rsidR="00DF43AD">
        <w:t>for an update of its 2011 report</w:t>
      </w:r>
      <w:r w:rsidR="00050F97">
        <w:t>,</w:t>
      </w:r>
      <w:r w:rsidR="00DF43AD">
        <w:rPr>
          <w:rStyle w:val="FootnoteReference"/>
        </w:rPr>
        <w:footnoteReference w:id="76"/>
      </w:r>
      <w:r w:rsidR="00DF43AD">
        <w:t xml:space="preserve"> </w:t>
      </w:r>
      <w:r w:rsidR="00050F97">
        <w:t>although the group of states opposing its adoption tried, through a series of proposed amendments, to remove all references to ‘sexual orientation’ and ‘gender identity’,</w:t>
      </w:r>
      <w:r w:rsidR="00A04915">
        <w:t xml:space="preserve"> continuing to argue that </w:t>
      </w:r>
      <w:r w:rsidR="00050F97">
        <w:t>they were notions not known to international law.</w:t>
      </w:r>
      <w:r w:rsidR="00050F97">
        <w:rPr>
          <w:rStyle w:val="FootnoteReference"/>
        </w:rPr>
        <w:footnoteReference w:id="77"/>
      </w:r>
      <w:r w:rsidR="00050F97">
        <w:t xml:space="preserve"> </w:t>
      </w:r>
      <w:r w:rsidR="00DF43AD">
        <w:t xml:space="preserve">The </w:t>
      </w:r>
      <w:r w:rsidR="00050F97">
        <w:t xml:space="preserve">updated </w:t>
      </w:r>
      <w:r w:rsidR="00DF43AD">
        <w:t>report</w:t>
      </w:r>
      <w:r w:rsidR="00050F97">
        <w:t xml:space="preserve"> </w:t>
      </w:r>
      <w:r w:rsidR="00DF43AD">
        <w:t>found that</w:t>
      </w:r>
      <w:r w:rsidR="008175C2">
        <w:t>,</w:t>
      </w:r>
      <w:r w:rsidR="00DF43AD">
        <w:t xml:space="preserve"> since the previous</w:t>
      </w:r>
      <w:r w:rsidR="003A21FE">
        <w:t xml:space="preserve"> report</w:t>
      </w:r>
      <w:r w:rsidR="008175C2">
        <w:t>,</w:t>
      </w:r>
      <w:r w:rsidR="00DF43AD">
        <w:t xml:space="preserve"> ‘</w:t>
      </w:r>
      <w:r w:rsidR="00DF43AD" w:rsidRPr="00373ABF">
        <w:rPr>
          <w:lang w:val="en-AU"/>
        </w:rPr>
        <w:t>hundreds of people have been killed and thousands more injured in brutal, violent attacks</w:t>
      </w:r>
      <w:r w:rsidR="00DF43AD">
        <w:rPr>
          <w:lang w:val="en-AU"/>
        </w:rPr>
        <w:t xml:space="preserve">’ and documented many other </w:t>
      </w:r>
      <w:r w:rsidR="00DF43AD">
        <w:rPr>
          <w:lang w:val="en-AU"/>
        </w:rPr>
        <w:lastRenderedPageBreak/>
        <w:t>violations ‘including</w:t>
      </w:r>
      <w:r w:rsidR="00DF43AD" w:rsidRPr="00373ABF">
        <w:rPr>
          <w:lang w:val="en-AU"/>
        </w:rPr>
        <w:t xml:space="preserve"> torture, arbitrary detention, denial of rights to assembly and expression, discrimination in health care, education, employment and housing’</w:t>
      </w:r>
      <w:r w:rsidR="00DF43AD">
        <w:rPr>
          <w:lang w:val="en-AU"/>
        </w:rPr>
        <w:t>.</w:t>
      </w:r>
      <w:r w:rsidR="00DF43AD">
        <w:rPr>
          <w:rStyle w:val="FootnoteReference"/>
        </w:rPr>
        <w:footnoteReference w:id="78"/>
      </w:r>
    </w:p>
    <w:p w:rsidR="00835C7F" w:rsidRDefault="00A04915" w:rsidP="008D62C3">
      <w:r>
        <w:t>In the midst of these developments</w:t>
      </w:r>
      <w:r w:rsidR="00050F97">
        <w:t>, s</w:t>
      </w:r>
      <w:r w:rsidR="0029042F" w:rsidRPr="009C1663">
        <w:t xml:space="preserve">eeking to consolidate </w:t>
      </w:r>
      <w:r w:rsidR="00E55777" w:rsidRPr="009C1663">
        <w:t xml:space="preserve">the </w:t>
      </w:r>
      <w:r w:rsidR="00F92B87">
        <w:t>work of the various human rights procedures and NGOs</w:t>
      </w:r>
      <w:r w:rsidR="00ED509A">
        <w:t xml:space="preserve"> in the face of</w:t>
      </w:r>
      <w:r>
        <w:t xml:space="preserve"> </w:t>
      </w:r>
      <w:r w:rsidR="00D857A9">
        <w:t>hostility</w:t>
      </w:r>
      <w:r w:rsidR="00E55777" w:rsidRPr="009C1663">
        <w:t xml:space="preserve">, </w:t>
      </w:r>
      <w:r w:rsidR="00BF1DB8" w:rsidRPr="009C1663">
        <w:t xml:space="preserve">the </w:t>
      </w:r>
      <w:r w:rsidR="008175C2">
        <w:t>Yogyakarta Principles</w:t>
      </w:r>
      <w:r w:rsidR="00050F97">
        <w:t xml:space="preserve"> were launched </w:t>
      </w:r>
      <w:r w:rsidR="00BF1DB8">
        <w:t>in 2007.</w:t>
      </w:r>
      <w:r w:rsidR="00BF1DB8" w:rsidRPr="009C1663">
        <w:rPr>
          <w:rStyle w:val="FootnoteReference"/>
          <w:rFonts w:cstheme="minorHAnsi"/>
          <w:bCs/>
        </w:rPr>
        <w:footnoteReference w:id="79"/>
      </w:r>
      <w:r w:rsidR="00BF1DB8">
        <w:t xml:space="preserve"> S</w:t>
      </w:r>
      <w:r w:rsidR="001D6239">
        <w:t xml:space="preserve">upported </w:t>
      </w:r>
      <w:r w:rsidR="00F92B87">
        <w:t xml:space="preserve">by the </w:t>
      </w:r>
      <w:r w:rsidR="00F92B87" w:rsidRPr="001D6239">
        <w:t xml:space="preserve">International Commission of Jurists and </w:t>
      </w:r>
      <w:r w:rsidR="00835C7F">
        <w:t>the International Service for Human Rights,</w:t>
      </w:r>
      <w:r w:rsidR="00BF1DB8" w:rsidRPr="00BF1DB8">
        <w:rPr>
          <w:rStyle w:val="FootnoteReference"/>
          <w:bCs/>
        </w:rPr>
        <w:t xml:space="preserve"> </w:t>
      </w:r>
      <w:r w:rsidR="00BF1DB8">
        <w:rPr>
          <w:rStyle w:val="FootnoteReference"/>
          <w:bCs/>
        </w:rPr>
        <w:footnoteReference w:id="80"/>
      </w:r>
      <w:r w:rsidR="00835C7F">
        <w:t xml:space="preserve"> </w:t>
      </w:r>
      <w:r w:rsidR="00BF1DB8">
        <w:t xml:space="preserve">the </w:t>
      </w:r>
      <w:r w:rsidR="00050F97">
        <w:t>human rights advocates</w:t>
      </w:r>
      <w:r w:rsidR="00BF1DB8">
        <w:t xml:space="preserve"> </w:t>
      </w:r>
      <w:r w:rsidR="00050F97">
        <w:t xml:space="preserve">who drafted them </w:t>
      </w:r>
      <w:r w:rsidR="00BF1DB8">
        <w:t xml:space="preserve">set out to </w:t>
      </w:r>
      <w:r w:rsidR="0029042F" w:rsidRPr="009C1663">
        <w:t>‘collate and clarify State obligations under existing international human rights law’ in its application to issues of ‘sexual orientation’ and ‘gender identity’.</w:t>
      </w:r>
      <w:r w:rsidR="0029042F" w:rsidRPr="009C1663">
        <w:rPr>
          <w:rStyle w:val="FootnoteReference"/>
          <w:rFonts w:cstheme="minorHAnsi"/>
        </w:rPr>
        <w:t xml:space="preserve"> </w:t>
      </w:r>
      <w:r w:rsidR="0029042F" w:rsidRPr="009C1663">
        <w:rPr>
          <w:rStyle w:val="FootnoteReference"/>
          <w:rFonts w:cstheme="minorHAnsi"/>
        </w:rPr>
        <w:footnoteReference w:id="81"/>
      </w:r>
      <w:r w:rsidR="008175C2">
        <w:t xml:space="preserve"> </w:t>
      </w:r>
      <w:r w:rsidR="008175C2">
        <w:rPr>
          <w:rFonts w:ascii="Times New Roman" w:hAnsi="Times New Roman"/>
        </w:rPr>
        <w:t>T</w:t>
      </w:r>
      <w:r w:rsidR="00835C7F" w:rsidRPr="0022024D">
        <w:rPr>
          <w:rFonts w:ascii="Times New Roman" w:hAnsi="Times New Roman"/>
        </w:rPr>
        <w:t xml:space="preserve">he aim of the exercise was deliberately conservative in </w:t>
      </w:r>
      <w:r w:rsidR="003A21FE">
        <w:rPr>
          <w:rFonts w:ascii="Times New Roman" w:hAnsi="Times New Roman"/>
        </w:rPr>
        <w:t xml:space="preserve">seeking </w:t>
      </w:r>
      <w:r w:rsidR="00835C7F" w:rsidRPr="0022024D">
        <w:rPr>
          <w:rFonts w:ascii="Times New Roman" w:hAnsi="Times New Roman"/>
        </w:rPr>
        <w:t>to articulate the ‘current state’ of international human rights law, while acknowledging that the law continues to develop and therefore that ‘revision’ will be required ‘on a regular basis’.</w:t>
      </w:r>
      <w:r w:rsidR="00835C7F" w:rsidRPr="0022024D">
        <w:rPr>
          <w:rStyle w:val="FootnoteReference"/>
          <w:rFonts w:ascii="Times New Roman" w:hAnsi="Times New Roman"/>
        </w:rPr>
        <w:footnoteReference w:id="82"/>
      </w:r>
      <w:r w:rsidR="00835C7F">
        <w:rPr>
          <w:rFonts w:ascii="Times New Roman" w:hAnsi="Times New Roman"/>
        </w:rPr>
        <w:t xml:space="preserve"> Given the </w:t>
      </w:r>
      <w:r w:rsidR="005E21CA">
        <w:rPr>
          <w:rFonts w:ascii="Times New Roman" w:hAnsi="Times New Roman"/>
        </w:rPr>
        <w:t>organized</w:t>
      </w:r>
      <w:r w:rsidR="00835C7F">
        <w:rPr>
          <w:rFonts w:ascii="Times New Roman" w:hAnsi="Times New Roman"/>
        </w:rPr>
        <w:t xml:space="preserve"> </w:t>
      </w:r>
      <w:r w:rsidR="00D857A9">
        <w:rPr>
          <w:rFonts w:ascii="Times New Roman" w:hAnsi="Times New Roman"/>
        </w:rPr>
        <w:t>opposition</w:t>
      </w:r>
      <w:r w:rsidR="00B50319">
        <w:rPr>
          <w:rFonts w:ascii="Times New Roman" w:hAnsi="Times New Roman"/>
        </w:rPr>
        <w:t>, t</w:t>
      </w:r>
      <w:r w:rsidR="00835C7F">
        <w:t>he</w:t>
      </w:r>
      <w:r w:rsidR="00835C7F" w:rsidRPr="009C1663">
        <w:t xml:space="preserve"> </w:t>
      </w:r>
      <w:r w:rsidR="00400A59" w:rsidRPr="009C1663">
        <w:t>tactic</w:t>
      </w:r>
      <w:r w:rsidR="00835C7F" w:rsidRPr="009C1663">
        <w:t xml:space="preserve"> of fostering inclusion by progressive interpretation of existing human rights </w:t>
      </w:r>
      <w:r w:rsidR="00400A59">
        <w:t xml:space="preserve">was </w:t>
      </w:r>
      <w:r w:rsidR="00B50319">
        <w:t xml:space="preserve">strategic. It </w:t>
      </w:r>
      <w:r w:rsidR="00835C7F" w:rsidRPr="009C1663">
        <w:t>mirrors the feminist strategy of gender mainstreaming</w:t>
      </w:r>
      <w:r w:rsidR="00BF1DB8">
        <w:t xml:space="preserve"> by promoting more inclusive interpretations of mainstream human rights, rather than</w:t>
      </w:r>
      <w:r w:rsidR="00400A59">
        <w:t xml:space="preserve"> relying too heavily on anti-discrimination protections or hoping for th</w:t>
      </w:r>
      <w:r w:rsidR="00BF1DB8">
        <w:t>e recognition of new human rights</w:t>
      </w:r>
      <w:r w:rsidR="00B50319">
        <w:t xml:space="preserve">. </w:t>
      </w:r>
    </w:p>
    <w:p w:rsidR="0029042F" w:rsidRPr="009C1663" w:rsidRDefault="00B42140" w:rsidP="008D62C3">
      <w:r w:rsidRPr="009C1663">
        <w:t xml:space="preserve">The </w:t>
      </w:r>
      <w:r w:rsidR="0029042F" w:rsidRPr="009C1663">
        <w:t>Yogyakarta Principles offer the following definition</w:t>
      </w:r>
      <w:r w:rsidR="00400A59">
        <w:t xml:space="preserve"> of gender identity</w:t>
      </w:r>
      <w:r w:rsidR="0029042F" w:rsidRPr="009C1663">
        <w:t>:</w:t>
      </w:r>
      <w:r w:rsidRPr="009C1663">
        <w:t xml:space="preserve"> </w:t>
      </w:r>
    </w:p>
    <w:p w:rsidR="00394571" w:rsidRDefault="0029042F" w:rsidP="00ED509A">
      <w:pPr>
        <w:ind w:left="720"/>
      </w:pPr>
      <w:r w:rsidRPr="009C1663">
        <w:t>Gender identity is understood to refer to each person’s deeply felt internal and individual experience of gender, which may or may not correspond with the sex assigned at birth, including the personal sense of the body (which may involve, if freely chosen, modification of bodily appearance or function by medical, surgical or other means) and other expressions of gender, including dress, speech and mannerisms.</w:t>
      </w:r>
      <w:r w:rsidRPr="009C1663">
        <w:rPr>
          <w:rStyle w:val="FootnoteReference"/>
          <w:rFonts w:cstheme="minorHAnsi"/>
        </w:rPr>
        <w:footnoteReference w:id="83"/>
      </w:r>
    </w:p>
    <w:p w:rsidR="009B5D4D" w:rsidRPr="00D857A9" w:rsidRDefault="0029042F" w:rsidP="008D62C3">
      <w:r w:rsidRPr="009C1663">
        <w:lastRenderedPageBreak/>
        <w:t xml:space="preserve">Importantly, the definition </w:t>
      </w:r>
      <w:r w:rsidR="006F757B">
        <w:t xml:space="preserve">sets out to be inclusive by </w:t>
      </w:r>
      <w:r w:rsidRPr="009C1663">
        <w:t>acknowledg</w:t>
      </w:r>
      <w:r w:rsidR="006F757B">
        <w:t>ing</w:t>
      </w:r>
      <w:r w:rsidRPr="009C1663">
        <w:t xml:space="preserve"> that </w:t>
      </w:r>
      <w:r w:rsidRPr="009C1663">
        <w:rPr>
          <w:i/>
        </w:rPr>
        <w:t>everyone</w:t>
      </w:r>
      <w:r w:rsidRPr="009C1663">
        <w:t xml:space="preserve"> has a gender identity</w:t>
      </w:r>
      <w:r w:rsidR="00987794" w:rsidRPr="009C1663">
        <w:t xml:space="preserve">, </w:t>
      </w:r>
      <w:r w:rsidR="00473C60">
        <w:t>although those who do not experience gender as an ‘identity’</w:t>
      </w:r>
      <w:r w:rsidR="00E61006">
        <w:t xml:space="preserve">, or </w:t>
      </w:r>
      <w:r w:rsidR="00E61006" w:rsidRPr="009B654B">
        <w:t>feel they have no gender or are ‘gender neutral</w:t>
      </w:r>
      <w:r w:rsidR="00E61006">
        <w:t>,</w:t>
      </w:r>
      <w:r w:rsidR="00E61006" w:rsidRPr="009B654B">
        <w:t>’</w:t>
      </w:r>
      <w:r w:rsidR="00E61006" w:rsidRPr="00E61006">
        <w:t xml:space="preserve"> </w:t>
      </w:r>
      <w:r w:rsidR="00E61006">
        <w:t>are excluded</w:t>
      </w:r>
      <w:r w:rsidR="00E61006" w:rsidRPr="009B654B">
        <w:t>.</w:t>
      </w:r>
      <w:r w:rsidR="00E61006" w:rsidRPr="009B654B">
        <w:rPr>
          <w:rStyle w:val="FootnoteReference"/>
          <w:rFonts w:cstheme="minorHAnsi"/>
        </w:rPr>
        <w:footnoteReference w:id="84"/>
      </w:r>
      <w:r w:rsidR="00E61006" w:rsidRPr="009C1663">
        <w:t xml:space="preserve"> </w:t>
      </w:r>
      <w:r w:rsidR="006F757B">
        <w:t>Perhaps use of the more open term ‘gender expression’, preferred by some of the drafters,</w:t>
      </w:r>
      <w:bookmarkStart w:id="18" w:name="_Ref431740203"/>
      <w:r w:rsidR="006F757B">
        <w:rPr>
          <w:rStyle w:val="FootnoteReference"/>
        </w:rPr>
        <w:footnoteReference w:id="85"/>
      </w:r>
      <w:bookmarkEnd w:id="18"/>
      <w:r w:rsidR="006F757B">
        <w:t xml:space="preserve"> would have</w:t>
      </w:r>
      <w:r w:rsidR="00ED509A">
        <w:t xml:space="preserve"> helped</w:t>
      </w:r>
      <w:r w:rsidR="006F757B">
        <w:t xml:space="preserve"> </w:t>
      </w:r>
      <w:r w:rsidR="00D857A9">
        <w:t xml:space="preserve">to </w:t>
      </w:r>
      <w:r w:rsidR="006F757B">
        <w:t xml:space="preserve">alleviate this problem. </w:t>
      </w:r>
      <w:r w:rsidR="00D857A9">
        <w:t xml:space="preserve">The other aspect of the definition that I welcome is its insistence that any bodily modifications, by way of surgeries and other medical interventions, must be ‘freely chosen’. In other words, there is no necessary </w:t>
      </w:r>
      <w:r w:rsidR="000E67EF">
        <w:t xml:space="preserve">correspondence </w:t>
      </w:r>
      <w:r w:rsidRPr="009C1663">
        <w:t xml:space="preserve">between </w:t>
      </w:r>
      <w:r w:rsidR="00FC021B">
        <w:t>‘</w:t>
      </w:r>
      <w:r w:rsidR="009B5D4D" w:rsidRPr="009C1663">
        <w:t>bod</w:t>
      </w:r>
      <w:r w:rsidR="009B654B">
        <w:t>il</w:t>
      </w:r>
      <w:r w:rsidRPr="009C1663">
        <w:t xml:space="preserve">y </w:t>
      </w:r>
      <w:r w:rsidR="000E67EF">
        <w:t xml:space="preserve">appearance or function’ </w:t>
      </w:r>
      <w:r w:rsidRPr="009C1663">
        <w:t xml:space="preserve">and a person’s </w:t>
      </w:r>
      <w:r w:rsidR="009B5D4D" w:rsidRPr="009C1663">
        <w:t>gender</w:t>
      </w:r>
      <w:r w:rsidR="00D857A9">
        <w:t xml:space="preserve"> identity</w:t>
      </w:r>
      <w:r w:rsidR="009B5D4D" w:rsidRPr="009C1663">
        <w:t xml:space="preserve">. </w:t>
      </w:r>
      <w:r w:rsidR="00D857A9">
        <w:t xml:space="preserve">These two elements of the definition </w:t>
      </w:r>
      <w:r w:rsidR="00364BE9">
        <w:t xml:space="preserve">contribute to a transformative understanding of gender [identity] in two ways. First, gender identity is not </w:t>
      </w:r>
      <w:r w:rsidR="006401F8">
        <w:t xml:space="preserve">treated as </w:t>
      </w:r>
      <w:r w:rsidR="00600049">
        <w:t xml:space="preserve">something unique to </w:t>
      </w:r>
      <w:r w:rsidR="00364BE9">
        <w:t xml:space="preserve">transgendered people but </w:t>
      </w:r>
      <w:r w:rsidR="006401F8">
        <w:t>a</w:t>
      </w:r>
      <w:r w:rsidR="00364BE9">
        <w:t>s a universal characteristic and</w:t>
      </w:r>
      <w:r w:rsidR="00600049">
        <w:t>,</w:t>
      </w:r>
      <w:r w:rsidR="00364BE9">
        <w:t xml:space="preserve"> second, gender identity is not defined by – or even reliant upon </w:t>
      </w:r>
      <w:r w:rsidR="00600049">
        <w:t xml:space="preserve">– </w:t>
      </w:r>
      <w:r w:rsidR="00B36CE0">
        <w:t xml:space="preserve">any particular </w:t>
      </w:r>
      <w:r w:rsidR="006401F8">
        <w:t xml:space="preserve">(bio)logic </w:t>
      </w:r>
      <w:r w:rsidR="00B36CE0">
        <w:t>configuration of bodily/</w:t>
      </w:r>
      <w:r w:rsidR="00600049">
        <w:t xml:space="preserve">physiological </w:t>
      </w:r>
      <w:r w:rsidR="00B36CE0">
        <w:t>features. I</w:t>
      </w:r>
      <w:r w:rsidR="00B91B4C">
        <w:t xml:space="preserve">t follows that </w:t>
      </w:r>
      <w:r w:rsidR="00E77989">
        <w:t>‘</w:t>
      </w:r>
      <w:r w:rsidR="00B91B4C">
        <w:t>w</w:t>
      </w:r>
      <w:r w:rsidR="00382341" w:rsidRPr="009C1663">
        <w:t xml:space="preserve">omen’ </w:t>
      </w:r>
      <w:r w:rsidR="00382341" w:rsidRPr="007D4357">
        <w:t xml:space="preserve">and ‘men’ </w:t>
      </w:r>
      <w:r w:rsidR="00E77989">
        <w:t xml:space="preserve">are but </w:t>
      </w:r>
      <w:r w:rsidR="00D057BF" w:rsidRPr="007D4357">
        <w:t>two of the gender identities</w:t>
      </w:r>
      <w:r w:rsidR="00382341" w:rsidRPr="007D4357">
        <w:t xml:space="preserve"> possible in a world of gender diversity</w:t>
      </w:r>
      <w:r w:rsidR="00B91B4C">
        <w:t xml:space="preserve">, although it would have been helpful if the </w:t>
      </w:r>
      <w:r w:rsidR="00473C60">
        <w:t xml:space="preserve">drafters </w:t>
      </w:r>
      <w:r w:rsidR="00B91B4C">
        <w:t>had made this point explicitly</w:t>
      </w:r>
      <w:r w:rsidR="00FC53CD" w:rsidRPr="007D4357">
        <w:t>.</w:t>
      </w:r>
      <w:r w:rsidR="001C775B">
        <w:t xml:space="preserve"> </w:t>
      </w:r>
    </w:p>
    <w:p w:rsidR="00D54BE3" w:rsidRDefault="002504F2" w:rsidP="008D62C3">
      <w:r>
        <w:t>Yet</w:t>
      </w:r>
      <w:r w:rsidR="00FC021B">
        <w:t xml:space="preserve"> </w:t>
      </w:r>
      <w:r w:rsidR="00B36CE0">
        <w:t xml:space="preserve">other aspects of the </w:t>
      </w:r>
      <w:r w:rsidR="00FC021B">
        <w:t xml:space="preserve">definition still hold onto </w:t>
      </w:r>
      <w:r w:rsidR="009B654B">
        <w:t xml:space="preserve">the idea of a </w:t>
      </w:r>
      <w:r w:rsidR="00E77989">
        <w:t xml:space="preserve">physiological </w:t>
      </w:r>
      <w:r w:rsidR="009B654B">
        <w:t xml:space="preserve">base. The </w:t>
      </w:r>
      <w:r w:rsidR="00FC021B">
        <w:t>description of</w:t>
      </w:r>
      <w:r w:rsidR="009B654B">
        <w:t xml:space="preserve"> </w:t>
      </w:r>
      <w:r w:rsidR="007D4357" w:rsidRPr="009B654B">
        <w:t xml:space="preserve">gender identity as </w:t>
      </w:r>
      <w:r w:rsidR="00FC021B">
        <w:t xml:space="preserve">a </w:t>
      </w:r>
      <w:r w:rsidR="007D4357" w:rsidRPr="009B654B">
        <w:t xml:space="preserve">‘deeply felt </w:t>
      </w:r>
      <w:r w:rsidR="009B654B">
        <w:t>internal</w:t>
      </w:r>
      <w:r w:rsidR="00FC021B">
        <w:t xml:space="preserve"> … experience’</w:t>
      </w:r>
      <w:r w:rsidR="00535816">
        <w:t>,</w:t>
      </w:r>
      <w:r w:rsidR="009B654B">
        <w:t xml:space="preserve"> </w:t>
      </w:r>
      <w:r w:rsidR="006401F8">
        <w:t xml:space="preserve">suggests </w:t>
      </w:r>
      <w:r w:rsidR="007D4357" w:rsidRPr="009B654B">
        <w:t xml:space="preserve">it </w:t>
      </w:r>
      <w:r w:rsidR="006401F8">
        <w:t>i</w:t>
      </w:r>
      <w:r w:rsidR="007D4357" w:rsidRPr="009B654B">
        <w:t xml:space="preserve">s </w:t>
      </w:r>
      <w:r w:rsidR="00FC021B">
        <w:t xml:space="preserve">an inherent characteristic </w:t>
      </w:r>
      <w:r w:rsidR="007D4357" w:rsidRPr="009B654B">
        <w:t>–</w:t>
      </w:r>
      <w:r w:rsidR="00FC021B">
        <w:t xml:space="preserve"> </w:t>
      </w:r>
      <w:r w:rsidR="00E61006">
        <w:t xml:space="preserve">both </w:t>
      </w:r>
      <w:r w:rsidR="007D4357" w:rsidRPr="009B654B">
        <w:t>innate</w:t>
      </w:r>
      <w:r w:rsidR="003525CF">
        <w:t xml:space="preserve"> and unitary</w:t>
      </w:r>
      <w:r w:rsidR="009B5D4D" w:rsidRPr="009B654B">
        <w:t>.</w:t>
      </w:r>
      <w:r w:rsidR="00535816">
        <w:t xml:space="preserve"> </w:t>
      </w:r>
      <w:r>
        <w:t>This</w:t>
      </w:r>
      <w:r w:rsidR="006401F8">
        <w:t xml:space="preserve"> approach</w:t>
      </w:r>
      <w:r>
        <w:t xml:space="preserve"> </w:t>
      </w:r>
      <w:r w:rsidR="00535816">
        <w:t>excl</w:t>
      </w:r>
      <w:r w:rsidR="00D34894">
        <w:t>udes</w:t>
      </w:r>
      <w:r w:rsidR="00535816">
        <w:t xml:space="preserve"> t</w:t>
      </w:r>
      <w:r w:rsidR="009B5D4D" w:rsidRPr="009B654B">
        <w:t xml:space="preserve">hose </w:t>
      </w:r>
      <w:r w:rsidR="00D34894" w:rsidRPr="009B654B">
        <w:t xml:space="preserve">who experience their gender as </w:t>
      </w:r>
      <w:r w:rsidR="00D34894">
        <w:t>shifting</w:t>
      </w:r>
      <w:r w:rsidR="00E24D3C">
        <w:t xml:space="preserve"> or multiple,</w:t>
      </w:r>
      <w:r w:rsidR="00D34894">
        <w:t xml:space="preserve"> </w:t>
      </w:r>
      <w:r w:rsidR="00E61006">
        <w:t xml:space="preserve">as well as </w:t>
      </w:r>
      <w:r w:rsidR="00CF1061" w:rsidRPr="009C1663">
        <w:t xml:space="preserve">those who identify as some combination </w:t>
      </w:r>
      <w:r w:rsidR="003525CF">
        <w:t xml:space="preserve">or blurring </w:t>
      </w:r>
      <w:r w:rsidR="00CF1061" w:rsidRPr="009C1663">
        <w:t>of male and female</w:t>
      </w:r>
      <w:r>
        <w:t>,</w:t>
      </w:r>
      <w:r w:rsidR="00B36CE0">
        <w:t xml:space="preserve"> for example, gender transients, multi-gendered, gender ‘in-between’ or ‘non-specific’ and many others. </w:t>
      </w:r>
      <w:r>
        <w:t xml:space="preserve">It is </w:t>
      </w:r>
      <w:r w:rsidR="00BA0EDF">
        <w:t xml:space="preserve">telling </w:t>
      </w:r>
      <w:r>
        <w:t>that all t</w:t>
      </w:r>
      <w:r w:rsidR="00B36CE0">
        <w:t>h</w:t>
      </w:r>
      <w:r>
        <w:t>e excluded gender subjectivities</w:t>
      </w:r>
      <w:r w:rsidR="00B36CE0">
        <w:t xml:space="preserve"> </w:t>
      </w:r>
      <w:r w:rsidR="00BA0EDF">
        <w:t>challenge</w:t>
      </w:r>
      <w:r w:rsidR="00E24D3C">
        <w:t xml:space="preserve"> </w:t>
      </w:r>
      <w:r w:rsidR="00D34894">
        <w:t xml:space="preserve">the </w:t>
      </w:r>
      <w:r>
        <w:t>stability of the</w:t>
      </w:r>
      <w:r w:rsidR="00B36CE0">
        <w:t xml:space="preserve"> </w:t>
      </w:r>
      <w:r w:rsidR="00D34894">
        <w:t>m/f binary</w:t>
      </w:r>
      <w:r>
        <w:t>. T</w:t>
      </w:r>
      <w:r w:rsidR="00BA0EDF">
        <w:t xml:space="preserve">his indicates that </w:t>
      </w:r>
      <w:r w:rsidR="00D34894">
        <w:t xml:space="preserve">the definition’s </w:t>
      </w:r>
      <w:r>
        <w:t xml:space="preserve">understanding of gender as a ‘deeply felt, internal and individual experience’ </w:t>
      </w:r>
      <w:r w:rsidR="00BA0EDF">
        <w:t xml:space="preserve">serves to </w:t>
      </w:r>
      <w:r>
        <w:t xml:space="preserve">reinstate </w:t>
      </w:r>
      <w:r w:rsidR="00D34894">
        <w:t>(bio)logic</w:t>
      </w:r>
      <w:r w:rsidR="00D54BE3">
        <w:t xml:space="preserve"> </w:t>
      </w:r>
      <w:r>
        <w:t>which, in turn,</w:t>
      </w:r>
      <w:r w:rsidR="00533F21">
        <w:t xml:space="preserve"> </w:t>
      </w:r>
      <w:r>
        <w:t>re-</w:t>
      </w:r>
      <w:r w:rsidR="00BA0EDF">
        <w:t>naturaliz</w:t>
      </w:r>
      <w:r w:rsidR="00533F21">
        <w:t>e</w:t>
      </w:r>
      <w:r>
        <w:t>s</w:t>
      </w:r>
      <w:r w:rsidR="00533F21">
        <w:t xml:space="preserve"> </w:t>
      </w:r>
      <w:r w:rsidR="00D34894">
        <w:t xml:space="preserve">the gender binary. </w:t>
      </w:r>
      <w:r>
        <w:t xml:space="preserve">To the extent that the definition recognizes </w:t>
      </w:r>
      <w:r w:rsidR="00B67725">
        <w:t>that gender has expressive dimensions</w:t>
      </w:r>
      <w:r w:rsidR="002B6D82">
        <w:t xml:space="preserve">, by way of ‘dress, speech and mannerisms’, it is assumed that </w:t>
      </w:r>
      <w:r w:rsidR="00FB0F63">
        <w:t>such expressions</w:t>
      </w:r>
      <w:r w:rsidR="00BA0EDF">
        <w:t xml:space="preserve"> are freely chosen</w:t>
      </w:r>
      <w:r w:rsidR="00EB7829">
        <w:t xml:space="preserve"> and that they </w:t>
      </w:r>
      <w:r w:rsidR="002B6D82">
        <w:t>arise from and are consistent with the ‘deeply felt’ foundation of gender [identity].</w:t>
      </w:r>
    </w:p>
    <w:p w:rsidR="00533F21" w:rsidRDefault="00FB0F63" w:rsidP="008D62C3">
      <w:r>
        <w:lastRenderedPageBreak/>
        <w:t>Equally alarming</w:t>
      </w:r>
      <w:r w:rsidR="00ED509A">
        <w:t xml:space="preserve">, the definition </w:t>
      </w:r>
      <w:r w:rsidR="001460F7">
        <w:t xml:space="preserve">in the Yogyakarta Principles </w:t>
      </w:r>
      <w:r w:rsidR="00ED509A">
        <w:t xml:space="preserve">completely fails to acknowledge the influence of social context on the way that gender is </w:t>
      </w:r>
      <w:r w:rsidR="002B6D82">
        <w:t>understood and</w:t>
      </w:r>
      <w:r>
        <w:t xml:space="preserve"> expressed</w:t>
      </w:r>
      <w:r w:rsidR="00ED509A">
        <w:t xml:space="preserve">, </w:t>
      </w:r>
      <w:r w:rsidR="00A317B8">
        <w:t xml:space="preserve">including on the way </w:t>
      </w:r>
      <w:r>
        <w:t>individuals understand and articulate</w:t>
      </w:r>
      <w:r w:rsidR="00A317B8">
        <w:t xml:space="preserve"> what is experienced as ‘deeply felt’.</w:t>
      </w:r>
      <w:r>
        <w:t xml:space="preserve"> </w:t>
      </w:r>
      <w:r w:rsidR="00A317B8">
        <w:t xml:space="preserve"> </w:t>
      </w:r>
      <w:r w:rsidR="00E24D3C">
        <w:t>T</w:t>
      </w:r>
      <w:r w:rsidR="00533F21">
        <w:t xml:space="preserve">he representation of gender identity as an individual’s </w:t>
      </w:r>
      <w:r w:rsidR="00E24D3C">
        <w:t>(deeply felt)</w:t>
      </w:r>
      <w:r w:rsidR="00533F21">
        <w:t xml:space="preserve"> destiny, without reference to the way that social context </w:t>
      </w:r>
      <w:r>
        <w:t>continuously de-</w:t>
      </w:r>
      <w:r w:rsidR="00533F21">
        <w:t>limits the choices</w:t>
      </w:r>
      <w:r>
        <w:t xml:space="preserve"> available to ever</w:t>
      </w:r>
      <w:r w:rsidR="00533F21">
        <w:t>y individual</w:t>
      </w:r>
      <w:r w:rsidR="001460F7">
        <w:t>,</w:t>
      </w:r>
      <w:r w:rsidR="00E24D3C">
        <w:t xml:space="preserve"> stands in stark contrast to t</w:t>
      </w:r>
      <w:r w:rsidR="00E24D3C" w:rsidRPr="009C1663">
        <w:t xml:space="preserve">he standard </w:t>
      </w:r>
      <w:r>
        <w:t>‘feminist’</w:t>
      </w:r>
      <w:r w:rsidR="00E24D3C">
        <w:t xml:space="preserve"> </w:t>
      </w:r>
      <w:r w:rsidR="00E24D3C" w:rsidRPr="009C1663">
        <w:t>UN de</w:t>
      </w:r>
      <w:r w:rsidR="00E24D3C">
        <w:t xml:space="preserve">finition of gender as </w:t>
      </w:r>
      <w:r>
        <w:t>a social category</w:t>
      </w:r>
      <w:r w:rsidR="00E24D3C">
        <w:t>:</w:t>
      </w:r>
    </w:p>
    <w:p w:rsidR="00533F21" w:rsidRDefault="00BB359C" w:rsidP="00BB359C">
      <w:pPr>
        <w:ind w:left="720"/>
      </w:pPr>
      <w:r>
        <w:t>The term ‘gender’</w:t>
      </w:r>
      <w:r w:rsidRPr="00EF2554">
        <w:t xml:space="preserve"> refers to the ways in which roles, attitudes, values and relationships regarding women and men are constructed by all societies all over the world … while the sex of a person is determined by nature, the gender of that person is socially constructed.</w:t>
      </w:r>
      <w:r>
        <w:rPr>
          <w:rStyle w:val="FootnoteReference"/>
        </w:rPr>
        <w:footnoteReference w:id="86"/>
      </w:r>
    </w:p>
    <w:p w:rsidR="00533F21" w:rsidRDefault="00FB0F63" w:rsidP="008D62C3">
      <w:r>
        <w:t xml:space="preserve">Both definitions anchor gender in a </w:t>
      </w:r>
      <w:r w:rsidR="00B67725">
        <w:t xml:space="preserve">dualistic </w:t>
      </w:r>
      <w:r>
        <w:t xml:space="preserve">biological (deeply felt) base, but they diverge on the </w:t>
      </w:r>
      <w:r w:rsidR="00B67725">
        <w:t>question as to whether gender is also a so</w:t>
      </w:r>
      <w:r w:rsidR="00BA0EDF">
        <w:t xml:space="preserve">cial category. The hard-won </w:t>
      </w:r>
      <w:r w:rsidR="00B67725">
        <w:t>fem</w:t>
      </w:r>
      <w:r w:rsidR="00BA0EDF">
        <w:t>inist</w:t>
      </w:r>
      <w:r w:rsidR="00B67725">
        <w:t xml:space="preserve"> understanding of gender [identity] as, in large part if not totally, socially constituted has disappeared </w:t>
      </w:r>
      <w:r w:rsidR="001460F7">
        <w:t xml:space="preserve">in the context of promoting the rights of transgendered people </w:t>
      </w:r>
    </w:p>
    <w:p w:rsidR="00B47169" w:rsidRDefault="006E1812" w:rsidP="008D62C3">
      <w:r>
        <w:rPr>
          <w:noProof/>
          <w:lang w:val="en-AU" w:eastAsia="en-AU"/>
        </w:rPr>
        <mc:AlternateContent>
          <mc:Choice Requires="wps">
            <w:drawing>
              <wp:anchor distT="0" distB="0" distL="114300" distR="114300" simplePos="0" relativeHeight="251664384" behindDoc="0" locked="0" layoutInCell="1" allowOverlap="1">
                <wp:simplePos x="0" y="0"/>
                <wp:positionH relativeFrom="column">
                  <wp:posOffset>542925</wp:posOffset>
                </wp:positionH>
                <wp:positionV relativeFrom="paragraph">
                  <wp:posOffset>84455</wp:posOffset>
                </wp:positionV>
                <wp:extent cx="4425950" cy="815340"/>
                <wp:effectExtent l="0" t="0" r="12700" b="23495"/>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5950" cy="815340"/>
                        </a:xfrm>
                        <a:prstGeom prst="rect">
                          <a:avLst/>
                        </a:prstGeom>
                        <a:solidFill>
                          <a:srgbClr val="FFFFFF"/>
                        </a:solidFill>
                        <a:ln w="9525">
                          <a:solidFill>
                            <a:srgbClr val="000000"/>
                          </a:solidFill>
                          <a:miter lim="800000"/>
                          <a:headEnd/>
                          <a:tailEnd/>
                        </a:ln>
                      </wps:spPr>
                      <wps:txbx>
                        <w:txbxContent>
                          <w:p w:rsidR="00EC2FCD" w:rsidRPr="00B47169" w:rsidRDefault="00EC2FCD" w:rsidP="00B47169">
                            <w:pPr>
                              <w:spacing w:after="0" w:line="240" w:lineRule="auto"/>
                              <w:jc w:val="center"/>
                              <w:rPr>
                                <w:b/>
                              </w:rPr>
                            </w:pPr>
                            <w:r w:rsidRPr="00B47169">
                              <w:rPr>
                                <w:b/>
                              </w:rPr>
                              <w:t>Yogyakarta Principles approach to sex/gender</w:t>
                            </w:r>
                            <w:r>
                              <w:rPr>
                                <w:b/>
                              </w:rPr>
                              <w:t xml:space="preserve"> </w:t>
                            </w:r>
                            <w:r w:rsidRPr="00B47169">
                              <w:rPr>
                                <w:b/>
                              </w:rPr>
                              <w:t xml:space="preserve">[identity]: </w:t>
                            </w:r>
                            <w:r w:rsidRPr="00B67725">
                              <w:rPr>
                                <w:b/>
                                <w:i/>
                              </w:rPr>
                              <w:t>reinstatement of (bio)logic</w:t>
                            </w:r>
                          </w:p>
                          <w:p w:rsidR="00EC2FCD" w:rsidRDefault="00EC2FCD" w:rsidP="00B47169">
                            <w:pPr>
                              <w:spacing w:after="0" w:line="240" w:lineRule="auto"/>
                              <w:jc w:val="center"/>
                            </w:pPr>
                            <w:r w:rsidRPr="001830BA">
                              <w:t>m/f</w:t>
                            </w:r>
                            <w:r>
                              <w:t xml:space="preserve"> dualistic gender [identity]</w:t>
                            </w:r>
                            <w:r w:rsidRPr="001830BA">
                              <w:t xml:space="preserve"> </w:t>
                            </w:r>
                            <w:r>
                              <w:t>- nature</w:t>
                            </w:r>
                            <w:r w:rsidRPr="001830BA">
                              <w:t xml:space="preserve"> </w:t>
                            </w:r>
                          </w:p>
                          <w:p w:rsidR="00EC2FCD" w:rsidRDefault="00EC2FCD" w:rsidP="00B47169">
                            <w:pPr>
                              <w:spacing w:after="0" w:line="240" w:lineRule="auto"/>
                              <w:jc w:val="center"/>
                            </w:pPr>
                            <w:r>
                              <w:t>trans ‘deeply felt’ m/f gender identity - nature</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4" o:spid="_x0000_s1028" type="#_x0000_t202" style="position:absolute;margin-left:42.75pt;margin-top:6.65pt;width:348.5pt;height:64.2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">
                <v:textbox style="mso-fit-shape-to-text:t">
                  <w:txbxContent>
                    <w:p w:rsidR="00EC2FCD" w:rsidRPr="00B47169" w:rsidRDefault="00EC2FCD" w:rsidP="00B47169">
                      <w:pPr>
                        <w:spacing w:after="0" w:line="240" w:lineRule="auto"/>
                        <w:jc w:val="center"/>
                        <w:rPr>
                          <w:b/>
                        </w:rPr>
                      </w:pPr>
                      <w:r w:rsidRPr="00B47169">
                        <w:rPr>
                          <w:b/>
                        </w:rPr>
                        <w:t>Yogyakarta Principles approach to sex/gender</w:t>
                      </w:r>
                      <w:r>
                        <w:rPr>
                          <w:b/>
                        </w:rPr>
                        <w:t xml:space="preserve"> </w:t>
                      </w:r>
                      <w:r w:rsidRPr="00B47169">
                        <w:rPr>
                          <w:b/>
                        </w:rPr>
                        <w:t xml:space="preserve">[identity]: </w:t>
                      </w:r>
                      <w:r w:rsidRPr="00B67725">
                        <w:rPr>
                          <w:b/>
                          <w:i/>
                        </w:rPr>
                        <w:t>reinstatement of (bio)logic</w:t>
                      </w:r>
                    </w:p>
                    <w:p w:rsidR="00EC2FCD" w:rsidRDefault="00EC2FCD" w:rsidP="00B47169">
                      <w:pPr>
                        <w:spacing w:after="0" w:line="240" w:lineRule="auto"/>
                        <w:jc w:val="center"/>
                      </w:pPr>
                      <w:r w:rsidRPr="001830BA">
                        <w:t>m/f</w:t>
                      </w:r>
                      <w:r>
                        <w:t xml:space="preserve"> dualistic gender [identity]</w:t>
                      </w:r>
                      <w:r w:rsidRPr="001830BA">
                        <w:t xml:space="preserve"> </w:t>
                      </w:r>
                      <w:r>
                        <w:t>- nature</w:t>
                      </w:r>
                      <w:r w:rsidRPr="001830BA">
                        <w:t xml:space="preserve"> </w:t>
                      </w:r>
                    </w:p>
                    <w:p w:rsidR="00EC2FCD" w:rsidRDefault="00EC2FCD" w:rsidP="00B47169">
                      <w:pPr>
                        <w:spacing w:after="0" w:line="240" w:lineRule="auto"/>
                        <w:jc w:val="center"/>
                      </w:pPr>
                      <w:r>
                        <w:t>trans ‘deeply felt’ m/f gender identity - nature</w:t>
                      </w:r>
                    </w:p>
                  </w:txbxContent>
                </v:textbox>
              </v:shape>
            </w:pict>
          </mc:Fallback>
        </mc:AlternateContent>
      </w:r>
    </w:p>
    <w:p w:rsidR="00533F21" w:rsidRDefault="00533F21" w:rsidP="008D62C3"/>
    <w:p w:rsidR="00B47169" w:rsidRDefault="00B47169" w:rsidP="008D62C3"/>
    <w:p w:rsidR="00BA0EDF" w:rsidRDefault="00BA0EDF" w:rsidP="008D62C3"/>
    <w:p w:rsidR="00B22903" w:rsidRDefault="00B67725" w:rsidP="008D62C3">
      <w:r>
        <w:t xml:space="preserve">The most important </w:t>
      </w:r>
      <w:r w:rsidR="00BA0EDF">
        <w:t xml:space="preserve">advance </w:t>
      </w:r>
      <w:r>
        <w:t>made by</w:t>
      </w:r>
      <w:r w:rsidR="00B47169">
        <w:t xml:space="preserve"> </w:t>
      </w:r>
      <w:r w:rsidR="00D54BE3">
        <w:t xml:space="preserve">the </w:t>
      </w:r>
      <w:r w:rsidR="00D54BE3" w:rsidRPr="009C1663">
        <w:t>definition of gender identity</w:t>
      </w:r>
      <w:r w:rsidR="00D54BE3">
        <w:t xml:space="preserve"> </w:t>
      </w:r>
      <w:r w:rsidR="00B47169">
        <w:t xml:space="preserve">in the Yogyakarta Principles </w:t>
      </w:r>
      <w:r>
        <w:t xml:space="preserve">is </w:t>
      </w:r>
      <w:r w:rsidR="00D54BE3">
        <w:t>that we all have a gender identity</w:t>
      </w:r>
      <w:r>
        <w:t xml:space="preserve">. This creates a foothold for </w:t>
      </w:r>
      <w:r w:rsidR="00D54BE3" w:rsidRPr="009C1663">
        <w:t xml:space="preserve">more complex </w:t>
      </w:r>
      <w:r w:rsidR="00D54BE3">
        <w:t xml:space="preserve">and dynamic </w:t>
      </w:r>
      <w:r>
        <w:t>understandings of</w:t>
      </w:r>
      <w:r w:rsidR="00D54BE3">
        <w:t xml:space="preserve"> gender as a </w:t>
      </w:r>
      <w:r w:rsidR="00403BA7">
        <w:t xml:space="preserve">performative </w:t>
      </w:r>
      <w:r w:rsidR="00D54BE3">
        <w:t>construct that affects everyone</w:t>
      </w:r>
      <w:r>
        <w:t>.</w:t>
      </w:r>
      <w:r w:rsidR="00454E60">
        <w:t xml:space="preserve"> Yet</w:t>
      </w:r>
      <w:r w:rsidR="00EB7829">
        <w:t>,</w:t>
      </w:r>
      <w:r>
        <w:t xml:space="preserve"> </w:t>
      </w:r>
      <w:r w:rsidR="00382341" w:rsidRPr="009C1663">
        <w:t xml:space="preserve">the treatment of gender identity in the body of the </w:t>
      </w:r>
      <w:r w:rsidR="00454E60">
        <w:t xml:space="preserve">Yogyakarta Principles </w:t>
      </w:r>
      <w:r w:rsidR="00403BA7">
        <w:t>immediate</w:t>
      </w:r>
      <w:r w:rsidR="001C775B">
        <w:t>ly</w:t>
      </w:r>
      <w:r w:rsidR="00403BA7">
        <w:t xml:space="preserve"> </w:t>
      </w:r>
      <w:r w:rsidR="00AF6BD7">
        <w:t>forecloses</w:t>
      </w:r>
      <w:r w:rsidR="00500BE4" w:rsidRPr="009C1663">
        <w:t xml:space="preserve"> </w:t>
      </w:r>
      <w:r w:rsidR="00AF6BD7">
        <w:t xml:space="preserve"> </w:t>
      </w:r>
      <w:r w:rsidR="004F0EFE" w:rsidRPr="009C1663">
        <w:t xml:space="preserve">this </w:t>
      </w:r>
      <w:r w:rsidR="00C72FEF">
        <w:t xml:space="preserve">promised </w:t>
      </w:r>
      <w:r w:rsidR="001830BA">
        <w:t>inclusivity</w:t>
      </w:r>
      <w:r>
        <w:t xml:space="preserve"> and its transformative potential</w:t>
      </w:r>
      <w:r w:rsidR="00B47169">
        <w:t xml:space="preserve">. </w:t>
      </w:r>
      <w:r w:rsidR="00454E60">
        <w:t xml:space="preserve">Like the CEDAW Committee, </w:t>
      </w:r>
      <w:r w:rsidR="00BA0EDF">
        <w:t xml:space="preserve">they treat </w:t>
      </w:r>
      <w:r w:rsidR="00454E60">
        <w:t>‘gender’ as if it has a meaning distinct from gender identity by referred to</w:t>
      </w:r>
      <w:r w:rsidR="00BA0EDF">
        <w:t xml:space="preserve"> it</w:t>
      </w:r>
      <w:r w:rsidR="00454E60">
        <w:t xml:space="preserve"> as an aspect of intersectional discrimination, as a characteristic </w:t>
      </w:r>
      <w:r w:rsidR="00BA0EDF">
        <w:t xml:space="preserve">like ‘race, age, </w:t>
      </w:r>
      <w:r w:rsidR="00BA0EDF">
        <w:lastRenderedPageBreak/>
        <w:t xml:space="preserve">religion, disability, health  and economic status’ </w:t>
      </w:r>
      <w:r w:rsidR="00454E60">
        <w:t>that that may compound discrimination o</w:t>
      </w:r>
      <w:r w:rsidR="00BA0EDF">
        <w:t>n</w:t>
      </w:r>
      <w:r w:rsidR="00454E60">
        <w:t xml:space="preserve"> the basis of gender identity.</w:t>
      </w:r>
      <w:r w:rsidR="00454E60">
        <w:rPr>
          <w:rStyle w:val="FootnoteReference"/>
        </w:rPr>
        <w:footnoteReference w:id="87"/>
      </w:r>
      <w:r w:rsidR="00CE257C">
        <w:t xml:space="preserve"> I struggle to imagine how this </w:t>
      </w:r>
      <w:r w:rsidR="00BA0EDF">
        <w:t xml:space="preserve">distinction </w:t>
      </w:r>
      <w:r w:rsidR="00CE257C">
        <w:t>would work</w:t>
      </w:r>
      <w:r w:rsidR="00BA0EDF">
        <w:t xml:space="preserve"> in </w:t>
      </w:r>
      <w:r w:rsidR="00536C23">
        <w:t>practice</w:t>
      </w:r>
      <w:r w:rsidR="00CE257C">
        <w:t xml:space="preserve">, even in the case of someone who identifies as transgendered. Consider, for example, discrimination experienced by a </w:t>
      </w:r>
      <w:r w:rsidR="00437401">
        <w:t>trans (</w:t>
      </w:r>
      <w:r w:rsidR="00BA0EDF">
        <w:t>m-f</w:t>
      </w:r>
      <w:r w:rsidR="00CE257C">
        <w:t xml:space="preserve">) woman because she is not allowed to use the female bathroom at work. Compare this to a </w:t>
      </w:r>
      <w:r w:rsidR="00B22903">
        <w:t xml:space="preserve">ciswoman </w:t>
      </w:r>
      <w:r w:rsidR="00CE257C">
        <w:t xml:space="preserve">who is not allowed to use the male </w:t>
      </w:r>
      <w:r w:rsidR="00437401">
        <w:t xml:space="preserve">bathroom </w:t>
      </w:r>
      <w:r w:rsidR="00CE257C">
        <w:t>at work</w:t>
      </w:r>
      <w:r w:rsidR="00BA0EDF">
        <w:t xml:space="preserve">, </w:t>
      </w:r>
      <w:r w:rsidR="00437401">
        <w:t>which is much closer to her workstation than the female bathroom</w:t>
      </w:r>
      <w:r w:rsidR="00CE257C">
        <w:t>.</w:t>
      </w:r>
      <w:r w:rsidR="00B22903">
        <w:t xml:space="preserve"> Both cases could be defended on </w:t>
      </w:r>
      <w:r w:rsidR="00AE7680">
        <w:t xml:space="preserve">some combination of </w:t>
      </w:r>
      <w:r w:rsidR="00B22903">
        <w:t xml:space="preserve">biological </w:t>
      </w:r>
      <w:r w:rsidR="00AE7680">
        <w:t>and</w:t>
      </w:r>
      <w:r w:rsidR="00B22903">
        <w:t xml:space="preserve"> social grounds</w:t>
      </w:r>
      <w:r w:rsidR="00AE7680">
        <w:t xml:space="preserve"> </w:t>
      </w:r>
      <w:r w:rsidR="00B22903">
        <w:t>and</w:t>
      </w:r>
      <w:r w:rsidR="00AE7680">
        <w:t>,</w:t>
      </w:r>
      <w:r w:rsidR="00B22903">
        <w:t xml:space="preserve"> while the</w:t>
      </w:r>
      <w:r w:rsidR="00BA0EDF">
        <w:t xml:space="preserve">re may be some </w:t>
      </w:r>
      <w:r w:rsidR="00B22903">
        <w:t>difference</w:t>
      </w:r>
      <w:r w:rsidR="00BA0EDF">
        <w:t xml:space="preserve">s the rationale for different </w:t>
      </w:r>
      <w:r w:rsidR="00B22903">
        <w:t xml:space="preserve">treatment, the grounds </w:t>
      </w:r>
      <w:r w:rsidR="00BA0EDF">
        <w:t xml:space="preserve">of the discrimination complained of </w:t>
      </w:r>
      <w:r w:rsidR="00B22903">
        <w:t xml:space="preserve">are the same. Each complainant is basing their claim on sex/gender. The notion of gender identity adds nothing more. </w:t>
      </w:r>
      <w:r w:rsidR="0036552F">
        <w:t xml:space="preserve">It makes no difference whether their claim is assessed by reference to their membership of a sub-group of ‘women’ or as a member of the </w:t>
      </w:r>
      <w:r w:rsidR="008E612A">
        <w:t xml:space="preserve">transgendered </w:t>
      </w:r>
      <w:r w:rsidR="0036552F">
        <w:t xml:space="preserve">group </w:t>
      </w:r>
      <w:r w:rsidR="008E612A">
        <w:t>whose gender identity is that of ‘women’</w:t>
      </w:r>
      <w:r w:rsidR="0036552F">
        <w:t xml:space="preserve">. </w:t>
      </w:r>
      <w:r w:rsidR="00437401">
        <w:t xml:space="preserve">Further, </w:t>
      </w:r>
      <w:r w:rsidR="0036552F">
        <w:t>the example illustrates that drawing a distinction between sex (biology) and gender (culture) serves no useful purpose</w:t>
      </w:r>
      <w:r w:rsidR="008E612A">
        <w:t>, as the discrimin</w:t>
      </w:r>
      <w:r w:rsidR="00AE7680">
        <w:t>ation complained of is</w:t>
      </w:r>
      <w:r w:rsidR="008E612A">
        <w:t xml:space="preserve"> based on social understandings and perceptions of biology intertwined with expression</w:t>
      </w:r>
      <w:r w:rsidR="0036552F">
        <w:t xml:space="preserve">. </w:t>
      </w:r>
      <w:r w:rsidR="00B22903">
        <w:t>As the Canadian judge in</w:t>
      </w:r>
      <w:r w:rsidR="008E612A">
        <w:t xml:space="preserve"> the</w:t>
      </w:r>
      <w:r w:rsidR="00B22903">
        <w:t xml:space="preserve"> </w:t>
      </w:r>
      <w:r w:rsidR="00B22903" w:rsidRPr="00437401">
        <w:rPr>
          <w:i/>
        </w:rPr>
        <w:t>Sheridan</w:t>
      </w:r>
      <w:r w:rsidR="00AE7680">
        <w:rPr>
          <w:i/>
        </w:rPr>
        <w:t xml:space="preserve"> </w:t>
      </w:r>
      <w:r w:rsidR="00AE7680">
        <w:t>case</w:t>
      </w:r>
      <w:r w:rsidR="00437401">
        <w:t>,</w:t>
      </w:r>
      <w:r w:rsidR="008E612A">
        <w:rPr>
          <w:rStyle w:val="FootnoteReference"/>
        </w:rPr>
        <w:footnoteReference w:id="88"/>
      </w:r>
      <w:r w:rsidR="00437401">
        <w:t xml:space="preserve"> which considered the question of access of a trans woman to women’s bathrooms</w:t>
      </w:r>
      <w:r w:rsidR="00B22903">
        <w:t xml:space="preserve"> </w:t>
      </w:r>
      <w:r w:rsidR="00437401">
        <w:t xml:space="preserve">in public places, </w:t>
      </w:r>
      <w:r w:rsidR="00B22903">
        <w:t>said:</w:t>
      </w:r>
    </w:p>
    <w:p w:rsidR="00B22903" w:rsidRDefault="00437401" w:rsidP="00437401">
      <w:pPr>
        <w:ind w:left="720"/>
      </w:pPr>
      <w:r>
        <w:t>I am satisfied that discrimination against a transsexual constitutes discrimination on the basis of sex. Whether the discrimination is regarded as differential treatment because the transsexu</w:t>
      </w:r>
      <w:r w:rsidR="0036552F">
        <w:t>al falls outside the traditional</w:t>
      </w:r>
      <w:r>
        <w:t xml:space="preserve"> man/women dichotomy … or because male-to-female transsexuals are regarded as a subgroup of females (and vice versa) … the result is the sam</w:t>
      </w:r>
      <w:r w:rsidR="008E612A">
        <w:t>e …</w:t>
      </w:r>
      <w:r w:rsidR="008E612A">
        <w:rPr>
          <w:rStyle w:val="FootnoteReference"/>
        </w:rPr>
        <w:footnoteReference w:id="89"/>
      </w:r>
    </w:p>
    <w:p w:rsidR="00B22903" w:rsidRDefault="00B22903" w:rsidP="008D62C3"/>
    <w:p w:rsidR="00BD3287" w:rsidRDefault="00B22903" w:rsidP="00BD3287">
      <w:r>
        <w:t xml:space="preserve"> </w:t>
      </w:r>
      <w:r w:rsidR="00B47169">
        <w:t>The</w:t>
      </w:r>
      <w:r w:rsidR="00CC7064">
        <w:t xml:space="preserve"> promised universality of </w:t>
      </w:r>
      <w:r w:rsidR="00C20880">
        <w:t xml:space="preserve">the </w:t>
      </w:r>
      <w:r w:rsidR="00CC7064">
        <w:t xml:space="preserve">definition of gender identity in the </w:t>
      </w:r>
      <w:r w:rsidR="00C20880">
        <w:t xml:space="preserve">Yogyakarta Principles is completely undercut </w:t>
      </w:r>
      <w:r w:rsidR="00CC7064">
        <w:t>as they go on to elaborate</w:t>
      </w:r>
      <w:r w:rsidR="00C20880">
        <w:t xml:space="preserve"> </w:t>
      </w:r>
      <w:r w:rsidR="00BD3287">
        <w:t>states</w:t>
      </w:r>
      <w:r w:rsidR="00CC7064">
        <w:t>’</w:t>
      </w:r>
      <w:r w:rsidR="00BD3287">
        <w:t xml:space="preserve"> obligations under existing human rights law. </w:t>
      </w:r>
      <w:r w:rsidR="00C20880">
        <w:t xml:space="preserve">The only </w:t>
      </w:r>
      <w:r w:rsidR="001568E9">
        <w:t xml:space="preserve">specific </w:t>
      </w:r>
      <w:r w:rsidR="00C20880">
        <w:t xml:space="preserve">human rights issues associated with gender identity that are </w:t>
      </w:r>
      <w:r w:rsidR="00C20880">
        <w:lastRenderedPageBreak/>
        <w:t xml:space="preserve">drawn attention to </w:t>
      </w:r>
      <w:r w:rsidR="00BD3287">
        <w:t xml:space="preserve">are those that </w:t>
      </w:r>
      <w:r w:rsidR="00C20880">
        <w:t xml:space="preserve">apply solely </w:t>
      </w:r>
      <w:r w:rsidR="00C20880" w:rsidRPr="009C1663">
        <w:t>to transgendered people – without even the self-consciousness of providing an explanation</w:t>
      </w:r>
      <w:r w:rsidR="00C20880">
        <w:t xml:space="preserve"> fo</w:t>
      </w:r>
      <w:r w:rsidR="00BD3287">
        <w:t>r failing to include cisgender</w:t>
      </w:r>
      <w:r w:rsidR="00C20880">
        <w:t xml:space="preserve"> and other gender identities</w:t>
      </w:r>
      <w:r w:rsidR="00C20880" w:rsidRPr="009C1663">
        <w:t>.</w:t>
      </w:r>
      <w:r w:rsidR="00C20880">
        <w:t xml:space="preserve"> For example, </w:t>
      </w:r>
      <w:r w:rsidR="002C425F">
        <w:t xml:space="preserve">the elucidation of </w:t>
      </w:r>
      <w:r w:rsidR="00C20880">
        <w:t xml:space="preserve">the right to recognition before the law (Principle 3) </w:t>
      </w:r>
      <w:r w:rsidR="002C425F">
        <w:t xml:space="preserve">asserts that everyone’s ‘self-defined … gender identity … is </w:t>
      </w:r>
      <w:r w:rsidR="00C20880">
        <w:t>one of the most basic aspects of self-determination’</w:t>
      </w:r>
      <w:r w:rsidR="002C425F">
        <w:t xml:space="preserve"> and maintains that legal recognition must never be predicated on medical interventions</w:t>
      </w:r>
      <w:r w:rsidR="00BD3287">
        <w:t>, marital or parenthood status</w:t>
      </w:r>
      <w:r w:rsidR="002C425F">
        <w:t>. There is no doubt that this is an important interpretation of the right, but its coverage is limited to transgendered people, ignoring completely</w:t>
      </w:r>
      <w:r w:rsidR="001568E9">
        <w:t>, for example,</w:t>
      </w:r>
      <w:r w:rsidR="002C425F">
        <w:t xml:space="preserve"> the </w:t>
      </w:r>
      <w:r w:rsidR="00BD3287">
        <w:t xml:space="preserve">still widespread practice of denying full legal personality to those whose gender identity is that of a ‘woman’. </w:t>
      </w:r>
      <w:r w:rsidR="00AA1CE0" w:rsidRPr="009C1663">
        <w:t xml:space="preserve">This, I fear, </w:t>
      </w:r>
      <w:r w:rsidR="00B4403F">
        <w:t>confines the category of gender identity to trans people</w:t>
      </w:r>
      <w:r w:rsidR="00CC7064">
        <w:t>, closing down its transformative possibilities for everyone</w:t>
      </w:r>
      <w:r w:rsidR="00BD3287">
        <w:t>.</w:t>
      </w:r>
      <w:r w:rsidR="00BD3287" w:rsidRPr="00BD3287">
        <w:t xml:space="preserve"> </w:t>
      </w:r>
      <w:r w:rsidR="00BD3287" w:rsidRPr="009C1663">
        <w:t xml:space="preserve">This fear </w:t>
      </w:r>
      <w:r w:rsidR="00BD3287">
        <w:t xml:space="preserve">is compounded </w:t>
      </w:r>
      <w:r w:rsidR="00BD3287" w:rsidRPr="009C1663">
        <w:t xml:space="preserve">by the CEDAW Committee’s failure to engage with the new terminology of ‘gender identity’ in its work on </w:t>
      </w:r>
      <w:r w:rsidR="005611F7">
        <w:t xml:space="preserve">challenging </w:t>
      </w:r>
      <w:r w:rsidR="00BD3287" w:rsidRPr="009C1663">
        <w:t xml:space="preserve">women’s </w:t>
      </w:r>
      <w:r w:rsidR="005611F7">
        <w:t>in</w:t>
      </w:r>
      <w:r w:rsidR="00BD3287">
        <w:t xml:space="preserve">equality and harmful </w:t>
      </w:r>
      <w:r w:rsidR="005611F7">
        <w:t xml:space="preserve">gender </w:t>
      </w:r>
      <w:r w:rsidR="00BD3287">
        <w:t>stereotypes</w:t>
      </w:r>
      <w:r w:rsidR="00BD3287" w:rsidRPr="009C1663">
        <w:t xml:space="preserve">. </w:t>
      </w:r>
    </w:p>
    <w:p w:rsidR="00FC3788" w:rsidRDefault="00B50319" w:rsidP="008D62C3">
      <w:r>
        <w:t xml:space="preserve">While mainstreaming can have powerfully </w:t>
      </w:r>
      <w:r w:rsidR="00403BA7">
        <w:t>inclusionary</w:t>
      </w:r>
      <w:r>
        <w:t xml:space="preserve"> effects, the </w:t>
      </w:r>
      <w:r w:rsidRPr="0022024D">
        <w:t>attempt to ‘fit’ diverse sexual and gender practices</w:t>
      </w:r>
      <w:r>
        <w:t xml:space="preserve"> into existing </w:t>
      </w:r>
      <w:r w:rsidR="00CC7064">
        <w:t xml:space="preserve">dualistic and heteronormative </w:t>
      </w:r>
      <w:r>
        <w:t xml:space="preserve">sexual and gender categories </w:t>
      </w:r>
      <w:r w:rsidR="00403BA7">
        <w:t xml:space="preserve">in human rights law </w:t>
      </w:r>
      <w:r>
        <w:t>requires</w:t>
      </w:r>
      <w:r w:rsidRPr="0022024D">
        <w:t xml:space="preserve"> </w:t>
      </w:r>
      <w:r>
        <w:t xml:space="preserve">embracing </w:t>
      </w:r>
      <w:r w:rsidR="005D0ED5">
        <w:t xml:space="preserve">those categories </w:t>
      </w:r>
      <w:r>
        <w:t>rather than challenging them.</w:t>
      </w:r>
      <w:r w:rsidRPr="0022024D">
        <w:rPr>
          <w:rStyle w:val="FootnoteReference"/>
          <w:rFonts w:ascii="Times New Roman" w:hAnsi="Times New Roman"/>
        </w:rPr>
        <w:footnoteReference w:id="90"/>
      </w:r>
      <w:r w:rsidRPr="0022024D">
        <w:t xml:space="preserve"> </w:t>
      </w:r>
      <w:r w:rsidR="00835C08">
        <w:t xml:space="preserve">The </w:t>
      </w:r>
      <w:r w:rsidR="00AA1CE0">
        <w:t xml:space="preserve">failure of the Yogyakarta Principles to challenge the tradition of m/f dualism and its biological base can be explained in this way. </w:t>
      </w:r>
      <w:r w:rsidR="00403BA7">
        <w:t>More evidence of t</w:t>
      </w:r>
      <w:r w:rsidR="00AA1CE0">
        <w:t xml:space="preserve">he limiting effect of the strategy </w:t>
      </w:r>
      <w:r w:rsidR="00403BA7">
        <w:t xml:space="preserve">can be seen </w:t>
      </w:r>
      <w:r w:rsidR="00AA1CE0">
        <w:t>in the treatment of the family</w:t>
      </w:r>
      <w:r w:rsidR="00403BA7">
        <w:t>.</w:t>
      </w:r>
      <w:r w:rsidR="00403BA7" w:rsidRPr="00403BA7">
        <w:t xml:space="preserve"> </w:t>
      </w:r>
      <w:r w:rsidR="00403BA7">
        <w:t>The Yogyakarta Principles recognize</w:t>
      </w:r>
      <w:r w:rsidR="00403BA7" w:rsidRPr="0022024D">
        <w:t xml:space="preserve"> that everyone has the right to found a family, ‘regardless of sexual orientation or gender identity’</w:t>
      </w:r>
      <w:r w:rsidR="005D0ED5">
        <w:t xml:space="preserve"> and that families ‘exist in diverse forms’.</w:t>
      </w:r>
      <w:r w:rsidR="005D0ED5">
        <w:rPr>
          <w:rStyle w:val="FootnoteReference"/>
          <w:rFonts w:ascii="Times New Roman" w:hAnsi="Times New Roman"/>
        </w:rPr>
        <w:footnoteReference w:id="91"/>
      </w:r>
      <w:r w:rsidR="00403BA7" w:rsidRPr="0022024D">
        <w:t xml:space="preserve"> </w:t>
      </w:r>
      <w:r w:rsidR="005D0ED5">
        <w:t>However, the list of states obligations identified as necessary to implement the right</w:t>
      </w:r>
      <w:r w:rsidR="00EA23AC">
        <w:t>,</w:t>
      </w:r>
      <w:r w:rsidR="005D0ED5">
        <w:t xml:space="preserve"> merely reconfigure</w:t>
      </w:r>
      <w:r w:rsidR="00FC3788">
        <w:t xml:space="preserve">, rather than </w:t>
      </w:r>
      <w:r w:rsidR="00832EAA">
        <w:t xml:space="preserve">contest </w:t>
      </w:r>
      <w:r w:rsidR="00FC3788">
        <w:t xml:space="preserve">the heteronormative family model. </w:t>
      </w:r>
      <w:r w:rsidR="00CC7064">
        <w:t>They assume, for example,</w:t>
      </w:r>
      <w:r w:rsidR="00CC7064" w:rsidRPr="0022024D">
        <w:t xml:space="preserve"> that the</w:t>
      </w:r>
      <w:r w:rsidR="00CC7064">
        <w:t xml:space="preserve"> primary purpose of the family is to procreate, that the </w:t>
      </w:r>
      <w:r w:rsidR="00CC7064" w:rsidRPr="0022024D">
        <w:t>foundational family relationship is a monogamous couple and that the interests of chi</w:t>
      </w:r>
      <w:r w:rsidR="00CC7064">
        <w:t>ldren will be a primary concern</w:t>
      </w:r>
      <w:r w:rsidR="00CC7064" w:rsidRPr="0022024D">
        <w:t>.</w:t>
      </w:r>
      <w:r w:rsidR="00CC7064" w:rsidRPr="0022024D">
        <w:rPr>
          <w:rStyle w:val="FootnoteReference"/>
          <w:rFonts w:ascii="Times New Roman" w:hAnsi="Times New Roman"/>
        </w:rPr>
        <w:footnoteReference w:id="92"/>
      </w:r>
      <w:r w:rsidR="00CC7064" w:rsidRPr="00BA15BD">
        <w:t xml:space="preserve"> </w:t>
      </w:r>
      <w:r w:rsidR="00FC3788">
        <w:t xml:space="preserve">This reinstates </w:t>
      </w:r>
      <w:r w:rsidR="005D0ED5">
        <w:t xml:space="preserve">what Butler has </w:t>
      </w:r>
      <w:r w:rsidR="00832EAA">
        <w:t xml:space="preserve">called </w:t>
      </w:r>
      <w:r w:rsidR="005D0ED5">
        <w:t>the ‘</w:t>
      </w:r>
      <w:r w:rsidR="005D0ED5" w:rsidRPr="00FC3788">
        <w:t>heterosexual matrix</w:t>
      </w:r>
      <w:r w:rsidR="00FC3788">
        <w:t>’ which she describes as</w:t>
      </w:r>
    </w:p>
    <w:p w:rsidR="00F85A1C" w:rsidRDefault="00EA23AC" w:rsidP="005611F7">
      <w:pPr>
        <w:ind w:left="720"/>
      </w:pPr>
      <w:r>
        <w:lastRenderedPageBreak/>
        <w:t>a hegemonic discursive/epistemic model of gender intelligibility that assumes … there must be a stable sex expressed through a stable [dualistic] gender that is oppositionally and hierarchically defined through the compulsory practice of heterosexuality’.</w:t>
      </w:r>
      <w:r>
        <w:rPr>
          <w:rStyle w:val="FootnoteReference"/>
          <w:rFonts w:ascii="Times New Roman" w:hAnsi="Times New Roman"/>
        </w:rPr>
        <w:footnoteReference w:id="93"/>
      </w:r>
      <w:r>
        <w:t xml:space="preserve"> </w:t>
      </w:r>
    </w:p>
    <w:p w:rsidR="00832EAA" w:rsidRDefault="00BA15BD" w:rsidP="008D62C3">
      <w:r>
        <w:t>F</w:t>
      </w:r>
      <w:r w:rsidRPr="0022024D">
        <w:t>eminist concerns about the abuse</w:t>
      </w:r>
      <w:r>
        <w:t>s</w:t>
      </w:r>
      <w:r w:rsidRPr="0022024D">
        <w:t xml:space="preserve"> of power</w:t>
      </w:r>
      <w:r>
        <w:t xml:space="preserve"> in this kind of family arrangement are nowhere apparent, which would warrant</w:t>
      </w:r>
      <w:r w:rsidR="005611F7">
        <w:t>,</w:t>
      </w:r>
      <w:r>
        <w:t xml:space="preserve"> at the very least, the affirmation of the equal rights and responsibilities of </w:t>
      </w:r>
      <w:r w:rsidRPr="0022024D">
        <w:t>family m</w:t>
      </w:r>
      <w:r>
        <w:t>embers in intimate relationships</w:t>
      </w:r>
      <w:r w:rsidRPr="0022024D">
        <w:t>.</w:t>
      </w:r>
      <w:r>
        <w:t xml:space="preserve"> There is </w:t>
      </w:r>
      <w:r w:rsidR="00832EAA">
        <w:t xml:space="preserve">also </w:t>
      </w:r>
      <w:r>
        <w:t xml:space="preserve">no reference to sexual rights and freedoms (in </w:t>
      </w:r>
      <w:r w:rsidR="00832EAA">
        <w:t xml:space="preserve">a </w:t>
      </w:r>
      <w:r>
        <w:t xml:space="preserve">pleasurable sense) in the context of the family or anywhere else in the document. This is surely a </w:t>
      </w:r>
      <w:r w:rsidR="00832EAA">
        <w:t xml:space="preserve">significant </w:t>
      </w:r>
      <w:r>
        <w:t>watering down</w:t>
      </w:r>
      <w:r w:rsidR="00832EAA">
        <w:t>, if not betrayal,</w:t>
      </w:r>
      <w:r>
        <w:t xml:space="preserve"> of the </w:t>
      </w:r>
      <w:r w:rsidR="00832EAA">
        <w:t xml:space="preserve">radical sexual politics of queer </w:t>
      </w:r>
      <w:r w:rsidR="005611F7">
        <w:t xml:space="preserve">and sex positive feminist </w:t>
      </w:r>
      <w:r w:rsidR="00832EAA">
        <w:t>theory and activism.</w:t>
      </w:r>
      <w:r w:rsidR="00832EAA" w:rsidRPr="00832EAA">
        <w:t xml:space="preserve"> </w:t>
      </w:r>
    </w:p>
    <w:p w:rsidR="00FC53CD" w:rsidRDefault="00832EAA" w:rsidP="008D62C3">
      <w:r w:rsidRPr="00173BB5">
        <w:t xml:space="preserve">Simply trying to </w:t>
      </w:r>
      <w:r w:rsidR="00B02B30">
        <w:t xml:space="preserve">press </w:t>
      </w:r>
      <w:r w:rsidRPr="00173BB5">
        <w:t xml:space="preserve">diverse gender </w:t>
      </w:r>
      <w:r w:rsidR="00312D52" w:rsidRPr="00173BB5">
        <w:t>(</w:t>
      </w:r>
      <w:r w:rsidRPr="00173BB5">
        <w:t>and sexuality</w:t>
      </w:r>
      <w:r w:rsidR="00312D52" w:rsidRPr="00173BB5">
        <w:t>)</w:t>
      </w:r>
      <w:r w:rsidRPr="00173BB5">
        <w:t xml:space="preserve"> subjectivities into the </w:t>
      </w:r>
      <w:r w:rsidR="00312D52" w:rsidRPr="00173BB5">
        <w:rPr>
          <w:lang w:val="en-AU"/>
        </w:rPr>
        <w:t>dominant grid of binary gender and heterosexual normativity</w:t>
      </w:r>
      <w:r w:rsidR="00B02B30">
        <w:rPr>
          <w:lang w:val="en-AU"/>
        </w:rPr>
        <w:t xml:space="preserve"> as reflected in mainstream international law</w:t>
      </w:r>
      <w:r w:rsidR="00312D52" w:rsidRPr="00173BB5">
        <w:t>, merely installs the heterosexual matrix in a particular new form.</w:t>
      </w:r>
      <w:r w:rsidR="00312D52" w:rsidRPr="00173BB5">
        <w:rPr>
          <w:rStyle w:val="FootnoteReference"/>
          <w:rFonts w:cstheme="minorHAnsi"/>
        </w:rPr>
        <w:footnoteReference w:id="94"/>
      </w:r>
      <w:r w:rsidR="00312D52" w:rsidRPr="00173BB5">
        <w:t xml:space="preserve"> </w:t>
      </w:r>
      <w:r w:rsidR="006E536A">
        <w:t>It is what Tom Dreyfus has described as the ‘half-invention’ of gender identity, whereby people to whom the new category applies must find a way to fit themselves into the definition now found in law.</w:t>
      </w:r>
      <w:r w:rsidR="00D1220E">
        <w:rPr>
          <w:rStyle w:val="FootnoteReference"/>
        </w:rPr>
        <w:footnoteReference w:id="95"/>
      </w:r>
      <w:r w:rsidR="006E536A">
        <w:t xml:space="preserve"> </w:t>
      </w:r>
      <w:r w:rsidR="00312D52" w:rsidRPr="00173BB5">
        <w:t xml:space="preserve">The result is to </w:t>
      </w:r>
      <w:r w:rsidRPr="00173BB5">
        <w:t xml:space="preserve">re-normalize heterosexuality and re-biologize </w:t>
      </w:r>
      <w:r w:rsidR="00EB7829">
        <w:t xml:space="preserve">everyone’s </w:t>
      </w:r>
      <w:r w:rsidRPr="00173BB5">
        <w:t>gender identit</w:t>
      </w:r>
      <w:r w:rsidR="00EB7829">
        <w:t>y</w:t>
      </w:r>
      <w:r w:rsidRPr="00173BB5">
        <w:t xml:space="preserve">. </w:t>
      </w:r>
      <w:r w:rsidR="001543D8" w:rsidRPr="00173BB5">
        <w:t>In this</w:t>
      </w:r>
      <w:r w:rsidR="00312D52" w:rsidRPr="00173BB5">
        <w:t xml:space="preserve"> process</w:t>
      </w:r>
      <w:r w:rsidR="001543D8" w:rsidRPr="00173BB5">
        <w:t xml:space="preserve">, the Yogyakarta Principles establish a new asymmetry whereby the gender disadvantage of gender </w:t>
      </w:r>
      <w:r w:rsidR="005C4883">
        <w:t xml:space="preserve">[identity] </w:t>
      </w:r>
      <w:r w:rsidR="001543D8" w:rsidRPr="00173BB5">
        <w:t xml:space="preserve">minorities is measured against </w:t>
      </w:r>
      <w:r w:rsidR="002B47D9" w:rsidRPr="00173BB5">
        <w:t xml:space="preserve">the </w:t>
      </w:r>
      <w:r w:rsidR="00814F60" w:rsidRPr="00173BB5">
        <w:t xml:space="preserve">heteronormative </w:t>
      </w:r>
      <w:r w:rsidR="002B47D9" w:rsidRPr="00173BB5">
        <w:t xml:space="preserve">standard of </w:t>
      </w:r>
      <w:r w:rsidR="00814F60" w:rsidRPr="00173BB5">
        <w:t xml:space="preserve">dualistic </w:t>
      </w:r>
      <w:r w:rsidR="001543D8" w:rsidRPr="00173BB5">
        <w:t xml:space="preserve">gender, which </w:t>
      </w:r>
      <w:r w:rsidR="005C4883">
        <w:t xml:space="preserve">serves to </w:t>
      </w:r>
      <w:r w:rsidR="001543D8" w:rsidRPr="00173BB5">
        <w:t xml:space="preserve">reinforce the </w:t>
      </w:r>
      <w:r w:rsidR="00B02B30">
        <w:t xml:space="preserve">normative </w:t>
      </w:r>
      <w:r w:rsidR="001543D8" w:rsidRPr="00173BB5">
        <w:t xml:space="preserve">power of the </w:t>
      </w:r>
      <w:r w:rsidR="00B02B30">
        <w:t xml:space="preserve">m/f </w:t>
      </w:r>
      <w:r w:rsidR="001543D8" w:rsidRPr="00173BB5">
        <w:t>status quo, rather than</w:t>
      </w:r>
      <w:r w:rsidR="001543D8">
        <w:t xml:space="preserve"> challeng</w:t>
      </w:r>
      <w:r w:rsidR="005C4883">
        <w:t>e</w:t>
      </w:r>
      <w:r w:rsidR="001543D8">
        <w:t xml:space="preserve"> it.</w:t>
      </w:r>
    </w:p>
    <w:p w:rsidR="00F85A1C" w:rsidRPr="005611F7" w:rsidRDefault="00A3693E" w:rsidP="005611F7">
      <w:pPr>
        <w:pStyle w:val="ListParagraph"/>
        <w:numPr>
          <w:ilvl w:val="0"/>
          <w:numId w:val="21"/>
        </w:numPr>
        <w:rPr>
          <w:b/>
        </w:rPr>
      </w:pPr>
      <w:r w:rsidRPr="005611F7">
        <w:rPr>
          <w:b/>
        </w:rPr>
        <w:t>The Need for Queer and Feminist Coalitional Work</w:t>
      </w:r>
    </w:p>
    <w:p w:rsidR="008A27A6" w:rsidRPr="009C1663" w:rsidRDefault="00814F60" w:rsidP="008D62C3">
      <w:r>
        <w:t>Feminist and queer human rights advocates need to work in co</w:t>
      </w:r>
      <w:r w:rsidR="00A22695">
        <w:t>ali</w:t>
      </w:r>
      <w:r>
        <w:t xml:space="preserve">tion if they are ever to fundamentally challenge the discursively produced m/f dualism </w:t>
      </w:r>
      <w:r w:rsidR="00A22695">
        <w:t>along with</w:t>
      </w:r>
      <w:r>
        <w:t xml:space="preserve"> its claimed biological foundations</w:t>
      </w:r>
      <w:r w:rsidR="00A22695">
        <w:t>,</w:t>
      </w:r>
      <w:r>
        <w:t xml:space="preserve"> and </w:t>
      </w:r>
      <w:r w:rsidR="00A22695">
        <w:t xml:space="preserve">dislodge </w:t>
      </w:r>
      <w:r w:rsidRPr="009C1663">
        <w:t>the hetero</w:t>
      </w:r>
      <w:r w:rsidR="005C4883">
        <w:t>sexual</w:t>
      </w:r>
      <w:r w:rsidRPr="009C1663">
        <w:t xml:space="preserve"> family as </w:t>
      </w:r>
      <w:r w:rsidR="00A22695">
        <w:t xml:space="preserve">the universal model for normative sexuality, household </w:t>
      </w:r>
      <w:r w:rsidR="00A22695" w:rsidRPr="009C1663">
        <w:t>a</w:t>
      </w:r>
      <w:r w:rsidR="00A22695">
        <w:t xml:space="preserve">nd caring arrangements. </w:t>
      </w:r>
      <w:r w:rsidR="00D1220E">
        <w:t xml:space="preserve">This means giving up the ‘gender </w:t>
      </w:r>
      <w:r w:rsidR="00D1220E">
        <w:lastRenderedPageBreak/>
        <w:t>territorialization’ that has characterized advocacy of women’s a</w:t>
      </w:r>
      <w:r w:rsidR="006307B5">
        <w:t>nd GLBTI rights in recent years, resulting in competing conceptions of gender and disconnected advocacy channels.</w:t>
      </w:r>
      <w:r w:rsidR="006307B5">
        <w:rPr>
          <w:rStyle w:val="FootnoteReference"/>
        </w:rPr>
        <w:footnoteReference w:id="96"/>
      </w:r>
      <w:r w:rsidR="006307B5">
        <w:t xml:space="preserve"> </w:t>
      </w:r>
      <w:r w:rsidR="008A27A6" w:rsidRPr="009C1663">
        <w:t>This does not</w:t>
      </w:r>
      <w:r w:rsidR="009618AC">
        <w:t xml:space="preserve"> have to</w:t>
      </w:r>
      <w:r w:rsidR="008A27A6" w:rsidRPr="009C1663">
        <w:t xml:space="preserve"> mean forsaking feminism’s long-standing commitments</w:t>
      </w:r>
      <w:r w:rsidR="00A22695">
        <w:t xml:space="preserve"> to </w:t>
      </w:r>
      <w:r w:rsidR="004E1B90">
        <w:t xml:space="preserve">exposing the gendered violence of the heteronormative family and </w:t>
      </w:r>
      <w:r w:rsidR="00A22695">
        <w:t>improv</w:t>
      </w:r>
      <w:r w:rsidR="004E1B90">
        <w:t>ing</w:t>
      </w:r>
      <w:r w:rsidR="00A22695">
        <w:t xml:space="preserve"> the status of women</w:t>
      </w:r>
      <w:r w:rsidR="008A27A6" w:rsidRPr="009C1663">
        <w:t xml:space="preserve">, and nor does it </w:t>
      </w:r>
      <w:r w:rsidR="009618AC">
        <w:t xml:space="preserve">necessarily </w:t>
      </w:r>
      <w:r w:rsidR="008A27A6" w:rsidRPr="009C1663">
        <w:t xml:space="preserve">mean diluting the radical sexual history of queer politics. In fact, it is my view that bringing these two bodies of activism and critique together will help to resist </w:t>
      </w:r>
      <w:r w:rsidR="009618AC">
        <w:t xml:space="preserve">some of </w:t>
      </w:r>
      <w:r w:rsidR="008A27A6" w:rsidRPr="009C1663">
        <w:t xml:space="preserve">the </w:t>
      </w:r>
      <w:r w:rsidR="009618AC">
        <w:t xml:space="preserve">depoliticizing and </w:t>
      </w:r>
      <w:r w:rsidR="008A27A6" w:rsidRPr="009C1663">
        <w:t>domesticating effects of engaging with mainstream institutions of law and politics.</w:t>
      </w:r>
    </w:p>
    <w:p w:rsidR="008A27A6" w:rsidRPr="009C1663" w:rsidRDefault="001543D8" w:rsidP="008D62C3">
      <w:r>
        <w:t>T</w:t>
      </w:r>
      <w:r w:rsidR="008A27A6" w:rsidRPr="009C1663">
        <w:t>he</w:t>
      </w:r>
      <w:r w:rsidR="00FB3393">
        <w:t xml:space="preserve"> 2009</w:t>
      </w:r>
      <w:r>
        <w:t xml:space="preserve"> </w:t>
      </w:r>
      <w:r w:rsidR="00A22695">
        <w:t>gender mainstreaming</w:t>
      </w:r>
      <w:r w:rsidR="008A27A6" w:rsidRPr="009C1663">
        <w:t xml:space="preserve"> report of the Special Rapporteur on the protection of human rights while countering terrorism, Martin Scheinin</w:t>
      </w:r>
      <w:bookmarkStart w:id="19" w:name="_Ref298435974"/>
      <w:r>
        <w:t xml:space="preserve">, provides a positive </w:t>
      </w:r>
      <w:r w:rsidRPr="009C1663">
        <w:t>exampl</w:t>
      </w:r>
      <w:r>
        <w:t>e of such a coalitional effort</w:t>
      </w:r>
      <w:r w:rsidR="00D65E98" w:rsidRPr="009C1663">
        <w:t>.</w:t>
      </w:r>
      <w:r w:rsidR="008A27A6" w:rsidRPr="009C1663">
        <w:rPr>
          <w:rStyle w:val="FootnoteReference"/>
          <w:rFonts w:cstheme="minorHAnsi"/>
        </w:rPr>
        <w:footnoteReference w:id="97"/>
      </w:r>
      <w:bookmarkEnd w:id="19"/>
      <w:r w:rsidR="008A27A6" w:rsidRPr="009C1663">
        <w:t xml:space="preserve"> Drawing on a number of human rights documents to support his approach, </w:t>
      </w:r>
      <w:r w:rsidR="00D65E98" w:rsidRPr="009C1663">
        <w:t>including CEDAW General Recommendations and the Yogyakarta Principles,</w:t>
      </w:r>
      <w:r w:rsidR="00D65E98" w:rsidRPr="009C1663">
        <w:rPr>
          <w:rStyle w:val="FootnoteReference"/>
          <w:rFonts w:cstheme="minorHAnsi"/>
        </w:rPr>
        <w:t xml:space="preserve"> </w:t>
      </w:r>
      <w:r w:rsidR="00A22695" w:rsidRPr="009C1663">
        <w:rPr>
          <w:rStyle w:val="FootnoteReference"/>
          <w:rFonts w:cstheme="minorHAnsi"/>
        </w:rPr>
        <w:footnoteReference w:id="98"/>
      </w:r>
      <w:r w:rsidR="00A22695" w:rsidRPr="009C1663">
        <w:t xml:space="preserve"> </w:t>
      </w:r>
      <w:r w:rsidR="008A27A6" w:rsidRPr="009C1663">
        <w:t>Scheinin explains three times in his report that:</w:t>
      </w:r>
      <w:r w:rsidR="008A27A6" w:rsidRPr="009C1663">
        <w:rPr>
          <w:lang w:val="en-AU"/>
        </w:rPr>
        <w:t xml:space="preserve"> </w:t>
      </w:r>
    </w:p>
    <w:p w:rsidR="00F85A1C" w:rsidRDefault="008A27A6" w:rsidP="001568E9">
      <w:pPr>
        <w:ind w:left="720"/>
      </w:pPr>
      <w:r w:rsidRPr="009C1663">
        <w:t>Gender is not synonymous with women but rather encompasses the social constructions that underlie how women’s and men’s roles, functions and responsibilities, including in relation to sexual orientation and gender identity, are defined and understood.</w:t>
      </w:r>
      <w:r w:rsidRPr="009C1663">
        <w:rPr>
          <w:rStyle w:val="FootnoteReference"/>
          <w:rFonts w:cstheme="minorHAnsi"/>
        </w:rPr>
        <w:footnoteReference w:id="99"/>
      </w:r>
    </w:p>
    <w:p w:rsidR="00D65E98" w:rsidRPr="009C1663" w:rsidRDefault="001543D8" w:rsidP="008D62C3">
      <w:r>
        <w:t xml:space="preserve">Unlike </w:t>
      </w:r>
      <w:r w:rsidR="001F5566">
        <w:t xml:space="preserve">the CEDAW Committee and </w:t>
      </w:r>
      <w:r>
        <w:t>the Yogyakarta Principles, t</w:t>
      </w:r>
      <w:r w:rsidR="008A27A6" w:rsidRPr="009C1663">
        <w:t xml:space="preserve">he Special Rapporteur </w:t>
      </w:r>
      <w:r w:rsidR="001F5566">
        <w:t xml:space="preserve">does not confine his understanding of gender identity to transgendered people, but acknowledges that ‘gender’ refers to the social expectations of women and men, including their gender identity. </w:t>
      </w:r>
      <w:r w:rsidR="00D84FA2">
        <w:t>He</w:t>
      </w:r>
      <w:r>
        <w:t xml:space="preserve"> </w:t>
      </w:r>
      <w:r w:rsidR="008A27A6" w:rsidRPr="009C1663">
        <w:t xml:space="preserve">goes on </w:t>
      </w:r>
      <w:r w:rsidR="00F93183">
        <w:t xml:space="preserve">to </w:t>
      </w:r>
      <w:r w:rsidR="008A27A6" w:rsidRPr="009C1663">
        <w:t>say that, as a consequence, ‘gender is not static; it is changeable over time and across contexts’.</w:t>
      </w:r>
      <w:r w:rsidR="008A27A6" w:rsidRPr="009C1663">
        <w:rPr>
          <w:rStyle w:val="FootnoteReference"/>
          <w:rFonts w:cstheme="minorHAnsi"/>
        </w:rPr>
        <w:footnoteReference w:id="100"/>
      </w:r>
      <w:r w:rsidR="008A27A6" w:rsidRPr="009C1663">
        <w:t xml:space="preserve"> </w:t>
      </w:r>
    </w:p>
    <w:p w:rsidR="002C2911" w:rsidRDefault="001F5566" w:rsidP="008D62C3">
      <w:pPr>
        <w:rPr>
          <w:lang w:val="en-CA"/>
        </w:rPr>
      </w:pPr>
      <w:r>
        <w:lastRenderedPageBreak/>
        <w:t>D</w:t>
      </w:r>
      <w:r w:rsidR="009618AC">
        <w:t xml:space="preserve">espite </w:t>
      </w:r>
      <w:r>
        <w:t xml:space="preserve">still </w:t>
      </w:r>
      <w:r w:rsidR="009618AC">
        <w:t>holding onto</w:t>
      </w:r>
      <w:r w:rsidR="00FB3393">
        <w:t xml:space="preserve"> </w:t>
      </w:r>
      <w:r w:rsidR="009618AC">
        <w:t xml:space="preserve">gender </w:t>
      </w:r>
      <w:r w:rsidR="00FB3393">
        <w:t>dualism,</w:t>
      </w:r>
      <w:r w:rsidR="008A27A6" w:rsidRPr="009C1663">
        <w:t xml:space="preserve"> </w:t>
      </w:r>
      <w:r>
        <w:t>this</w:t>
      </w:r>
      <w:r w:rsidRPr="009C1663">
        <w:t xml:space="preserve"> approach</w:t>
      </w:r>
      <w:r>
        <w:t xml:space="preserve"> </w:t>
      </w:r>
      <w:r w:rsidR="008A27A6" w:rsidRPr="009C1663">
        <w:t xml:space="preserve">enables </w:t>
      </w:r>
      <w:r w:rsidR="00D84FA2">
        <w:t xml:space="preserve">the Special Rapporteur </w:t>
      </w:r>
      <w:r w:rsidR="008A27A6" w:rsidRPr="009C1663">
        <w:t xml:space="preserve">to discuss a broad range of </w:t>
      </w:r>
      <w:r>
        <w:t xml:space="preserve">ignored </w:t>
      </w:r>
      <w:r w:rsidR="008A27A6" w:rsidRPr="009C1663">
        <w:t>and under-reported human rights violations that result from measures aimed at countering terrorism</w:t>
      </w:r>
      <w:r w:rsidR="00D65E98" w:rsidRPr="009C1663">
        <w:t xml:space="preserve"> by highlighting, in turn, </w:t>
      </w:r>
      <w:r w:rsidR="008A27A6" w:rsidRPr="009C1663">
        <w:t>the negative effects that counter-terrorism measures are having on women’s rights,</w:t>
      </w:r>
      <w:r w:rsidR="002C3288" w:rsidRPr="009C1663">
        <w:rPr>
          <w:rStyle w:val="FootnoteReference"/>
          <w:rFonts w:cstheme="minorHAnsi"/>
        </w:rPr>
        <w:footnoteReference w:id="101"/>
      </w:r>
      <w:r w:rsidR="008A27A6" w:rsidRPr="009C1663">
        <w:t xml:space="preserve"> </w:t>
      </w:r>
      <w:r w:rsidR="002C3288" w:rsidRPr="009C1663">
        <w:t xml:space="preserve">on </w:t>
      </w:r>
      <w:r w:rsidR="008A27A6" w:rsidRPr="009C1663">
        <w:t>the rights of sexual and gender minorities</w:t>
      </w:r>
      <w:r w:rsidR="002C3288" w:rsidRPr="009C1663">
        <w:rPr>
          <w:rStyle w:val="FootnoteReference"/>
          <w:rFonts w:cstheme="minorHAnsi"/>
        </w:rPr>
        <w:footnoteReference w:id="102"/>
      </w:r>
      <w:r w:rsidR="008A27A6" w:rsidRPr="009C1663">
        <w:t xml:space="preserve"> and </w:t>
      </w:r>
      <w:r w:rsidR="002C3288" w:rsidRPr="009C1663">
        <w:t xml:space="preserve">on </w:t>
      </w:r>
      <w:r w:rsidR="008A27A6" w:rsidRPr="009C1663">
        <w:t>men</w:t>
      </w:r>
      <w:r w:rsidR="002C3288" w:rsidRPr="009C1663">
        <w:t>’s rights</w:t>
      </w:r>
      <w:r w:rsidR="00D65E98" w:rsidRPr="009C1663">
        <w:t xml:space="preserve">, particularly </w:t>
      </w:r>
      <w:r w:rsidR="002C3288" w:rsidRPr="009C1663">
        <w:t>the rights of male terrorist suspects.</w:t>
      </w:r>
      <w:r w:rsidR="002C3288" w:rsidRPr="009C1663">
        <w:rPr>
          <w:rStyle w:val="FootnoteReference"/>
          <w:rFonts w:cstheme="minorHAnsi"/>
        </w:rPr>
        <w:footnoteReference w:id="103"/>
      </w:r>
      <w:r w:rsidR="002C3288" w:rsidRPr="009C1663">
        <w:t xml:space="preserve"> </w:t>
      </w:r>
      <w:r w:rsidR="009064A2" w:rsidRPr="009C1663">
        <w:t>Importantly, this broad coverage enables him to highlight</w:t>
      </w:r>
      <w:r w:rsidR="008A27A6" w:rsidRPr="009C1663">
        <w:t xml:space="preserve"> a number of interrelationships and convergences between rights violations experienced by women and sexual and gender minorities, such as the ‘bartering’ of their rights in efforts to appease terrorist or extremist groups as in Pakistan and Egypt,</w:t>
      </w:r>
      <w:r w:rsidR="008A27A6" w:rsidRPr="009C1663">
        <w:rPr>
          <w:rStyle w:val="FootnoteReference"/>
          <w:rFonts w:cstheme="minorHAnsi"/>
        </w:rPr>
        <w:footnoteReference w:id="104"/>
      </w:r>
      <w:r w:rsidR="008A27A6" w:rsidRPr="009C1663">
        <w:t xml:space="preserve"> the impact of restrictive immigration controls</w:t>
      </w:r>
      <w:r w:rsidR="009618AC">
        <w:t xml:space="preserve"> on women and transgendered people</w:t>
      </w:r>
      <w:r w:rsidR="008A27A6" w:rsidRPr="009C1663">
        <w:t>,</w:t>
      </w:r>
      <w:r w:rsidR="008A27A6" w:rsidRPr="009C1663">
        <w:rPr>
          <w:rStyle w:val="FootnoteReference"/>
          <w:rFonts w:cstheme="minorHAnsi"/>
        </w:rPr>
        <w:footnoteReference w:id="105"/>
      </w:r>
      <w:r w:rsidR="008A27A6" w:rsidRPr="009C1663">
        <w:t xml:space="preserve"> and the criminalization and stigmatization of women’s and GLBTI human rights defenders as ‘terrorists’.</w:t>
      </w:r>
      <w:r w:rsidR="008A27A6" w:rsidRPr="009C1663">
        <w:rPr>
          <w:rStyle w:val="FootnoteReference"/>
          <w:rFonts w:cstheme="minorHAnsi"/>
        </w:rPr>
        <w:footnoteReference w:id="106"/>
      </w:r>
      <w:r w:rsidR="008A27A6" w:rsidRPr="009C1663">
        <w:t xml:space="preserve"> </w:t>
      </w:r>
      <w:r>
        <w:t>The report shows how i</w:t>
      </w:r>
      <w:r w:rsidR="008A27A6" w:rsidRPr="009C1663">
        <w:t>dentify</w:t>
      </w:r>
      <w:r w:rsidR="009064A2" w:rsidRPr="009C1663">
        <w:t>ing</w:t>
      </w:r>
      <w:r w:rsidR="008A27A6" w:rsidRPr="009C1663">
        <w:t xml:space="preserve"> patterns of gender-based discrimination by </w:t>
      </w:r>
      <w:r w:rsidR="009064A2" w:rsidRPr="009C1663">
        <w:t xml:space="preserve">tracing </w:t>
      </w:r>
      <w:r w:rsidR="008A27A6" w:rsidRPr="009C1663">
        <w:t xml:space="preserve">their effects on a diversity of gender groups, </w:t>
      </w:r>
      <w:r>
        <w:t xml:space="preserve">can </w:t>
      </w:r>
      <w:r w:rsidR="008A27A6" w:rsidRPr="009C1663">
        <w:t xml:space="preserve">deepen our understanding of </w:t>
      </w:r>
      <w:r w:rsidR="009064A2" w:rsidRPr="009C1663">
        <w:t>the technologies of gender</w:t>
      </w:r>
      <w:r w:rsidR="009618AC">
        <w:t>ed</w:t>
      </w:r>
      <w:r w:rsidR="009064A2" w:rsidRPr="009C1663">
        <w:t xml:space="preserve"> power and </w:t>
      </w:r>
      <w:r w:rsidR="004F0EFE" w:rsidRPr="009C1663">
        <w:t>enable more informed</w:t>
      </w:r>
      <w:r w:rsidR="004E1B90">
        <w:t xml:space="preserve">, coalitional </w:t>
      </w:r>
      <w:r w:rsidR="004F0EFE" w:rsidRPr="009C1663">
        <w:t>and</w:t>
      </w:r>
      <w:r w:rsidR="00F93183">
        <w:t>,</w:t>
      </w:r>
      <w:r w:rsidR="004F0EFE" w:rsidRPr="009C1663">
        <w:t xml:space="preserve"> </w:t>
      </w:r>
      <w:r w:rsidR="005C4883">
        <w:t>hopefully</w:t>
      </w:r>
      <w:r w:rsidR="00F93183">
        <w:t>,</w:t>
      </w:r>
      <w:r w:rsidR="004F0EFE" w:rsidRPr="009C1663">
        <w:t xml:space="preserve"> more effective responses to be crafted. Importantly</w:t>
      </w:r>
      <w:r w:rsidR="008A27A6" w:rsidRPr="009C1663">
        <w:t>, the Special Rapporteur’s application of a socially based and fluid conception of gender does not result in the marginalizat</w:t>
      </w:r>
      <w:r w:rsidR="009064A2" w:rsidRPr="009C1663">
        <w:t>ion of women’s human rights</w:t>
      </w:r>
      <w:r w:rsidR="004F0EFE" w:rsidRPr="009C1663">
        <w:t>. Instead</w:t>
      </w:r>
      <w:r w:rsidR="009064A2" w:rsidRPr="009C1663">
        <w:t xml:space="preserve">, </w:t>
      </w:r>
      <w:r w:rsidR="004F0EFE" w:rsidRPr="009C1663">
        <w:t xml:space="preserve">it </w:t>
      </w:r>
      <w:r w:rsidR="009064A2" w:rsidRPr="009C1663">
        <w:t xml:space="preserve">provides a consistently rights-based </w:t>
      </w:r>
      <w:r w:rsidR="004F0EFE" w:rsidRPr="009C1663">
        <w:t xml:space="preserve">analysis </w:t>
      </w:r>
      <w:r w:rsidR="009064A2" w:rsidRPr="009C1663">
        <w:t>that avoids sliding into protectionism</w:t>
      </w:r>
      <w:r w:rsidR="009618AC">
        <w:t xml:space="preserve"> when it refers to women</w:t>
      </w:r>
      <w:r w:rsidR="009064A2" w:rsidRPr="009C1663">
        <w:t xml:space="preserve">. </w:t>
      </w:r>
      <w:r w:rsidR="004E1B90">
        <w:t xml:space="preserve"> The report also promotes increased gender and sexual freedom by seeking to enhance freedom of movement and freedom of expression for all gender identities, in keeping with the sexual and gender radicalism of queer politics. </w:t>
      </w:r>
      <w:r w:rsidR="004F0EFE" w:rsidRPr="009C1663">
        <w:t>The Special Rap</w:t>
      </w:r>
      <w:r w:rsidR="00FB3393">
        <w:t>p</w:t>
      </w:r>
      <w:r w:rsidR="004F0EFE" w:rsidRPr="009C1663">
        <w:t xml:space="preserve">orteur </w:t>
      </w:r>
      <w:r w:rsidR="009064A2" w:rsidRPr="009C1663">
        <w:t>carries a brief for everyone whose human rights are violated because of their gender</w:t>
      </w:r>
      <w:r w:rsidR="00FB3393">
        <w:t xml:space="preserve"> identity</w:t>
      </w:r>
      <w:r w:rsidR="00C1371F">
        <w:t>, which</w:t>
      </w:r>
      <w:r w:rsidR="009618AC">
        <w:t xml:space="preserve"> would </w:t>
      </w:r>
      <w:r w:rsidR="00C1371F">
        <w:t xml:space="preserve">also </w:t>
      </w:r>
      <w:r w:rsidR="009618AC">
        <w:t xml:space="preserve">be possible for the CEDAW Committee </w:t>
      </w:r>
      <w:r w:rsidR="004E1B90">
        <w:t xml:space="preserve">and a </w:t>
      </w:r>
      <w:r w:rsidR="004E1B90">
        <w:lastRenderedPageBreak/>
        <w:t xml:space="preserve">revised version of the Yogyakarta Principles </w:t>
      </w:r>
      <w:r w:rsidR="009618AC">
        <w:t>to do</w:t>
      </w:r>
      <w:r w:rsidR="009064A2" w:rsidRPr="009C1663">
        <w:t>.</w:t>
      </w:r>
      <w:r w:rsidR="00F93183">
        <w:t xml:space="preserve"> </w:t>
      </w:r>
      <w:r w:rsidR="009618AC">
        <w:t xml:space="preserve">The Special Rapporteur’s </w:t>
      </w:r>
      <w:r w:rsidR="00D84FA2">
        <w:t>approach</w:t>
      </w:r>
      <w:r w:rsidR="008A27A6" w:rsidRPr="009C1663">
        <w:t xml:space="preserve"> looks to the </w:t>
      </w:r>
      <w:r w:rsidR="00E433F1" w:rsidRPr="009C1663">
        <w:rPr>
          <w:lang w:val="en-CA"/>
        </w:rPr>
        <w:t xml:space="preserve">specifics of the situation </w:t>
      </w:r>
      <w:r w:rsidR="008A27A6" w:rsidRPr="009C1663">
        <w:t xml:space="preserve">in order to identify </w:t>
      </w:r>
      <w:r w:rsidR="004F0EFE" w:rsidRPr="009C1663">
        <w:t xml:space="preserve">the </w:t>
      </w:r>
      <w:r w:rsidR="008A27A6" w:rsidRPr="009C1663">
        <w:t>nature of the gender disadvantage</w:t>
      </w:r>
      <w:r w:rsidR="00E433F1" w:rsidRPr="009C1663">
        <w:t xml:space="preserve"> and its victims</w:t>
      </w:r>
      <w:r w:rsidR="005C4883" w:rsidRPr="005C4883">
        <w:t xml:space="preserve"> </w:t>
      </w:r>
      <w:r w:rsidR="005C4883">
        <w:t>and crafts remedies accordingly</w:t>
      </w:r>
      <w:r w:rsidR="008A27A6" w:rsidRPr="009C1663">
        <w:t xml:space="preserve">, rather than </w:t>
      </w:r>
      <w:r w:rsidR="009064A2" w:rsidRPr="009C1663">
        <w:t xml:space="preserve">relying on </w:t>
      </w:r>
      <w:r w:rsidR="00E433F1" w:rsidRPr="009C1663">
        <w:t xml:space="preserve">the </w:t>
      </w:r>
      <w:r w:rsidR="009618AC">
        <w:t xml:space="preserve">automatic </w:t>
      </w:r>
      <w:r w:rsidR="009064A2" w:rsidRPr="009C1663">
        <w:t>assumptions o</w:t>
      </w:r>
      <w:r w:rsidR="008A27A6" w:rsidRPr="009C1663">
        <w:t xml:space="preserve">f </w:t>
      </w:r>
      <w:r w:rsidR="00D84FA2">
        <w:t>gender duality and asymmetry</w:t>
      </w:r>
      <w:r w:rsidR="009618AC">
        <w:t xml:space="preserve">. </w:t>
      </w:r>
      <w:r w:rsidR="00F93183">
        <w:t xml:space="preserve"> It </w:t>
      </w:r>
      <w:r w:rsidR="002C2911">
        <w:rPr>
          <w:lang w:val="en-CA"/>
        </w:rPr>
        <w:t>give</w:t>
      </w:r>
      <w:r w:rsidR="00F93183">
        <w:rPr>
          <w:lang w:val="en-CA"/>
        </w:rPr>
        <w:t>s</w:t>
      </w:r>
      <w:r w:rsidR="002C2911">
        <w:rPr>
          <w:lang w:val="en-CA"/>
        </w:rPr>
        <w:t xml:space="preserve"> me hope that it may yet be possible to defeat</w:t>
      </w:r>
      <w:r w:rsidR="00E433F1" w:rsidRPr="009C1663">
        <w:rPr>
          <w:lang w:val="en-CA"/>
        </w:rPr>
        <w:t xml:space="preserve"> the tenacity of biological determinism and its attendant protective representations of women</w:t>
      </w:r>
      <w:r w:rsidR="002C2911" w:rsidRPr="002C2911">
        <w:rPr>
          <w:lang w:val="en-CA"/>
        </w:rPr>
        <w:t xml:space="preserve"> </w:t>
      </w:r>
      <w:r w:rsidR="002C2911">
        <w:rPr>
          <w:lang w:val="en-CA"/>
        </w:rPr>
        <w:t>and dehum</w:t>
      </w:r>
      <w:r w:rsidR="00C62DB1">
        <w:rPr>
          <w:lang w:val="en-CA"/>
        </w:rPr>
        <w:t>an</w:t>
      </w:r>
      <w:r w:rsidR="002C2911">
        <w:rPr>
          <w:lang w:val="en-CA"/>
        </w:rPr>
        <w:t xml:space="preserve">izing insistence on </w:t>
      </w:r>
      <w:r w:rsidR="00C62DB1">
        <w:rPr>
          <w:lang w:val="en-CA"/>
        </w:rPr>
        <w:t>gender duality; to move the law from (bio)logic to performative understandings of gender.</w:t>
      </w:r>
    </w:p>
    <w:p w:rsidR="00F93183" w:rsidRDefault="005C4883" w:rsidP="00F93183">
      <w:r>
        <w:rPr>
          <w:lang w:val="en-CA"/>
        </w:rPr>
        <w:t>However, this move will require</w:t>
      </w:r>
      <w:r w:rsidR="00F93183">
        <w:rPr>
          <w:lang w:val="en-CA"/>
        </w:rPr>
        <w:t xml:space="preserve"> the complete rejection of the idea that there is an immutable, natural biological foundation for the social experiences of gender. </w:t>
      </w:r>
      <w:r w:rsidR="00F93183" w:rsidRPr="009C1663">
        <w:t xml:space="preserve">As Simone de Beauvoir observed in her pioneering work, one is not born a woman </w:t>
      </w:r>
      <w:r w:rsidR="00F93183">
        <w:t xml:space="preserve">[or any other gender] </w:t>
      </w:r>
      <w:r w:rsidR="00F93183" w:rsidRPr="009C1663">
        <w:t>but rather becomes one.</w:t>
      </w:r>
      <w:r w:rsidR="00F93183" w:rsidRPr="009C1663">
        <w:rPr>
          <w:rStyle w:val="FootnoteReference"/>
          <w:rFonts w:cstheme="minorHAnsi"/>
        </w:rPr>
        <w:footnoteReference w:id="107"/>
      </w:r>
      <w:r w:rsidR="00F93183" w:rsidRPr="009C1663">
        <w:t xml:space="preserve"> </w:t>
      </w:r>
      <w:r w:rsidR="00F93183">
        <w:t xml:space="preserve">In her </w:t>
      </w:r>
      <w:r w:rsidR="00721F57">
        <w:t xml:space="preserve">development </w:t>
      </w:r>
      <w:r w:rsidR="00F93183">
        <w:t xml:space="preserve">of this idea, </w:t>
      </w:r>
      <w:r w:rsidR="00EB79A8" w:rsidRPr="00EB79A8">
        <w:t>Butler argues that sex, like gender, is a performative category; that the ‘naturalness’ of sex is produced culturally and discursively</w:t>
      </w:r>
      <w:r w:rsidR="00F93183" w:rsidRPr="009C1663">
        <w:t>.</w:t>
      </w:r>
      <w:r w:rsidR="00F93183" w:rsidRPr="009C1663">
        <w:rPr>
          <w:rStyle w:val="FootnoteReference"/>
          <w:rFonts w:cstheme="minorHAnsi"/>
        </w:rPr>
        <w:footnoteReference w:id="108"/>
      </w:r>
      <w:r w:rsidR="00721F57">
        <w:t xml:space="preserve"> While these are not</w:t>
      </w:r>
      <w:r w:rsidR="00F93183">
        <w:t xml:space="preserve"> new </w:t>
      </w:r>
      <w:r w:rsidR="00F93183" w:rsidRPr="009C1663">
        <w:t>insight</w:t>
      </w:r>
      <w:r w:rsidR="00721F57">
        <w:t>s</w:t>
      </w:r>
      <w:r w:rsidR="00F93183" w:rsidRPr="009C1663">
        <w:t xml:space="preserve">, </w:t>
      </w:r>
      <w:r w:rsidR="00721F57">
        <w:t xml:space="preserve">they remain </w:t>
      </w:r>
      <w:r w:rsidR="00F93183" w:rsidRPr="009C1663">
        <w:t xml:space="preserve">deeply unacceptable </w:t>
      </w:r>
      <w:r w:rsidR="00721F57" w:rsidRPr="009C1663">
        <w:t>to some feminist and GLBTI rights advocates</w:t>
      </w:r>
      <w:r w:rsidR="00721F57">
        <w:t xml:space="preserve">, as well as </w:t>
      </w:r>
      <w:r w:rsidR="00F93183" w:rsidRPr="009C1663">
        <w:t xml:space="preserve">to </w:t>
      </w:r>
      <w:r w:rsidR="00F93183">
        <w:t xml:space="preserve">social and religious </w:t>
      </w:r>
      <w:r w:rsidR="00721F57">
        <w:t>conservatives</w:t>
      </w:r>
      <w:r w:rsidR="00F93183" w:rsidRPr="009C1663">
        <w:t xml:space="preserve">. </w:t>
      </w:r>
      <w:r w:rsidR="00F93183">
        <w:t>(Although the refusal of the Organiza</w:t>
      </w:r>
      <w:r>
        <w:t>tion of Islamic Conference</w:t>
      </w:r>
      <w:r w:rsidR="00F93183">
        <w:t xml:space="preserve"> to use the language of ‘</w:t>
      </w:r>
      <w:r>
        <w:t xml:space="preserve">sexual orientation’ and ‘gender identity’ </w:t>
      </w:r>
      <w:r w:rsidR="00F93183">
        <w:t>in their efforts to deny human rights obligations owed to those who might fall into these categories,</w:t>
      </w:r>
      <w:r w:rsidR="00721F57">
        <w:t xml:space="preserve"> seems to rely on precisely the</w:t>
      </w:r>
      <w:r w:rsidR="00F93183">
        <w:t xml:space="preserve"> insight</w:t>
      </w:r>
      <w:r w:rsidR="00721F57">
        <w:t xml:space="preserve"> that there is no prediscursive natural human subject</w:t>
      </w:r>
      <w:r w:rsidR="00F93183">
        <w:t>.)</w:t>
      </w:r>
      <w:r w:rsidR="00F93183">
        <w:rPr>
          <w:rStyle w:val="FootnoteReference"/>
        </w:rPr>
        <w:footnoteReference w:id="109"/>
      </w:r>
      <w:r w:rsidR="00F93183">
        <w:t xml:space="preserve"> </w:t>
      </w:r>
      <w:r w:rsidR="00721F57">
        <w:t xml:space="preserve">Those feminists who remain committed to biology as the anchor for women’s solidarity in the struggle for women’s equality and rights need to understand that this not only impedes the struggle, but continually gives sustenance to conservatives who argue </w:t>
      </w:r>
      <w:r>
        <w:t xml:space="preserve">that </w:t>
      </w:r>
      <w:r w:rsidR="00721F57">
        <w:t>women’s inequality is the natural order. They also need to recognize that gender is a technology of power that privileges only elite masculine interests and that there are others, besides women, who experience gendered injuries.</w:t>
      </w:r>
      <w:r w:rsidR="00896DD9">
        <w:t xml:space="preserve"> At the same time</w:t>
      </w:r>
      <w:r w:rsidR="00721F57">
        <w:t xml:space="preserve">, queer activists </w:t>
      </w:r>
      <w:r w:rsidR="00896DD9">
        <w:t xml:space="preserve">must learn from the long feminist struggle with issues of gender, resist the </w:t>
      </w:r>
      <w:r>
        <w:t xml:space="preserve">respectability </w:t>
      </w:r>
      <w:r w:rsidR="00896DD9">
        <w:t xml:space="preserve">that claiming a biological (deeply felt) base for transgendered identities promises, and broaden their own gaze to be inclusive of the diverse ways in which gender operates to enforce gendered hierarchies and heteronormativity in everyone’s lives. </w:t>
      </w:r>
    </w:p>
    <w:p w:rsidR="00E433F1" w:rsidRDefault="00896DD9" w:rsidP="008D62C3">
      <w:r>
        <w:lastRenderedPageBreak/>
        <w:t>T</w:t>
      </w:r>
      <w:r w:rsidR="00C62DB1">
        <w:t xml:space="preserve">his movement </w:t>
      </w:r>
      <w:r>
        <w:t>to completely jettison</w:t>
      </w:r>
      <w:r w:rsidR="005C4883">
        <w:t xml:space="preserve"> (bio)logic, and instead treat</w:t>
      </w:r>
      <w:r>
        <w:t xml:space="preserve"> gender as </w:t>
      </w:r>
      <w:r w:rsidR="005C4883">
        <w:t xml:space="preserve">a </w:t>
      </w:r>
      <w:r>
        <w:t xml:space="preserve">wholly performative category, </w:t>
      </w:r>
      <w:r w:rsidR="00C62DB1">
        <w:t xml:space="preserve">relies on </w:t>
      </w:r>
      <w:r w:rsidR="00C62DB1" w:rsidRPr="0022024D">
        <w:t xml:space="preserve">feminist </w:t>
      </w:r>
      <w:r w:rsidR="00C51A8B">
        <w:t>and GLBTI human rights advocates</w:t>
      </w:r>
      <w:r w:rsidR="00C62DB1" w:rsidRPr="0022024D">
        <w:t xml:space="preserve"> </w:t>
      </w:r>
      <w:r w:rsidR="00C62DB1">
        <w:t>finding ways to</w:t>
      </w:r>
      <w:r w:rsidR="00C62DB1" w:rsidRPr="0022024D">
        <w:t xml:space="preserve"> draw</w:t>
      </w:r>
      <w:r w:rsidR="00C62DB1">
        <w:t xml:space="preserve"> productively</w:t>
      </w:r>
      <w:r w:rsidR="00C62DB1" w:rsidRPr="0022024D">
        <w:t xml:space="preserve"> on the synergies of their intersecting gender concerns. </w:t>
      </w:r>
      <w:r w:rsidR="00C51A8B">
        <w:t xml:space="preserve">They/we need to stand together in solidarity </w:t>
      </w:r>
      <w:r w:rsidR="00C62DB1" w:rsidRPr="0022024D">
        <w:t xml:space="preserve">in the face of taunts of perversion and promiscuity, </w:t>
      </w:r>
      <w:r w:rsidR="00C51A8B">
        <w:t xml:space="preserve">rather than surrender </w:t>
      </w:r>
      <w:r w:rsidR="00C62DB1" w:rsidRPr="0022024D">
        <w:t xml:space="preserve">the radical </w:t>
      </w:r>
      <w:r w:rsidR="00C51A8B" w:rsidRPr="0022024D">
        <w:t xml:space="preserve">aspirations </w:t>
      </w:r>
      <w:r w:rsidR="00C62DB1" w:rsidRPr="0022024D">
        <w:t xml:space="preserve">of </w:t>
      </w:r>
      <w:r w:rsidR="00C51A8B">
        <w:t>our grass roots communities and founding movements. They/we need to draw on our coalitional strength to challenge</w:t>
      </w:r>
      <w:r w:rsidR="00C62DB1" w:rsidRPr="0022024D">
        <w:t xml:space="preserve"> the </w:t>
      </w:r>
      <w:r w:rsidR="00C51A8B">
        <w:t>(bio)logic that continues to underpin</w:t>
      </w:r>
      <w:r w:rsidR="00C62DB1" w:rsidRPr="0022024D">
        <w:t xml:space="preserve"> international human rights law, </w:t>
      </w:r>
      <w:r w:rsidR="00C51A8B">
        <w:t xml:space="preserve">unshaken by the arrival of the new category of gender identity. They/we need each other to resist </w:t>
      </w:r>
      <w:r w:rsidR="00C62DB1" w:rsidRPr="0022024D">
        <w:t>inclusion</w:t>
      </w:r>
      <w:r w:rsidR="00C51A8B">
        <w:t xml:space="preserve"> by way of being fitted into </w:t>
      </w:r>
      <w:r w:rsidR="00C62DB1" w:rsidRPr="0022024D">
        <w:t xml:space="preserve">the </w:t>
      </w:r>
      <w:r w:rsidR="00C62DB1" w:rsidRPr="00233946">
        <w:rPr>
          <w:i/>
        </w:rPr>
        <w:t>status quo</w:t>
      </w:r>
      <w:r w:rsidR="00C62DB1" w:rsidRPr="0022024D">
        <w:t xml:space="preserve"> of </w:t>
      </w:r>
      <w:r w:rsidR="00C51A8B">
        <w:t xml:space="preserve">gender duality and heteronormative marriage, which merely shifts the boundaries </w:t>
      </w:r>
      <w:r w:rsidR="00C62DB1">
        <w:t>of</w:t>
      </w:r>
      <w:r w:rsidR="00C62DB1" w:rsidRPr="0022024D">
        <w:t xml:space="preserve"> acceptable gender identities, </w:t>
      </w:r>
      <w:r w:rsidR="003735DE">
        <w:t xml:space="preserve">rather than erasing them. </w:t>
      </w:r>
      <w:r w:rsidR="00C62DB1" w:rsidRPr="0022024D">
        <w:t xml:space="preserve">The solution is </w:t>
      </w:r>
      <w:r w:rsidR="003735DE">
        <w:t>to foster coalitional strategies</w:t>
      </w:r>
      <w:r w:rsidR="005C4883">
        <w:t>,</w:t>
      </w:r>
      <w:r w:rsidR="003735DE">
        <w:t xml:space="preserve"> linking feminis</w:t>
      </w:r>
      <w:r w:rsidR="005C4883">
        <w:t>t</w:t>
      </w:r>
      <w:r w:rsidR="003735DE">
        <w:t xml:space="preserve"> and</w:t>
      </w:r>
      <w:r w:rsidR="00C62DB1" w:rsidRPr="0022024D">
        <w:t xml:space="preserve"> queer ways of thinking,</w:t>
      </w:r>
      <w:r w:rsidR="00073F4A">
        <w:rPr>
          <w:rStyle w:val="FootnoteReference"/>
          <w:rFonts w:ascii="Times New Roman" w:hAnsi="Times New Roman"/>
        </w:rPr>
        <w:footnoteReference w:id="110"/>
      </w:r>
      <w:r w:rsidR="00C62DB1" w:rsidRPr="0022024D">
        <w:t xml:space="preserve"> </w:t>
      </w:r>
      <w:r w:rsidR="00073F4A">
        <w:t xml:space="preserve">in order </w:t>
      </w:r>
      <w:r w:rsidR="00C62DB1" w:rsidRPr="0022024D">
        <w:t>to resist assimilation and present a united</w:t>
      </w:r>
      <w:r w:rsidR="003735DE">
        <w:t xml:space="preserve"> challenge to dualistic </w:t>
      </w:r>
      <w:r w:rsidR="003735DE" w:rsidRPr="0022024D">
        <w:t xml:space="preserve">gender </w:t>
      </w:r>
      <w:r w:rsidR="003735DE">
        <w:t>(</w:t>
      </w:r>
      <w:r w:rsidR="003735DE" w:rsidRPr="0022024D">
        <w:t>and sexuality</w:t>
      </w:r>
      <w:r w:rsidR="003735DE">
        <w:t>)</w:t>
      </w:r>
      <w:r w:rsidR="003735DE" w:rsidRPr="0022024D">
        <w:t xml:space="preserve"> </w:t>
      </w:r>
      <w:r w:rsidR="003735DE">
        <w:t>hierarchies that, supported by international law</w:t>
      </w:r>
      <w:r w:rsidR="003735DE" w:rsidRPr="0022024D">
        <w:t xml:space="preserve">, </w:t>
      </w:r>
      <w:r w:rsidR="003735DE">
        <w:t xml:space="preserve">help to normalize and </w:t>
      </w:r>
      <w:r w:rsidR="00C62DB1" w:rsidRPr="0022024D">
        <w:t>maintain an international order that is deeply unjust.</w:t>
      </w:r>
    </w:p>
    <w:p w:rsidR="00F85A1C" w:rsidRPr="00896DD9" w:rsidRDefault="009C1663" w:rsidP="00896DD9">
      <w:pPr>
        <w:pStyle w:val="ListParagraph"/>
        <w:numPr>
          <w:ilvl w:val="0"/>
          <w:numId w:val="21"/>
        </w:numPr>
        <w:rPr>
          <w:b/>
        </w:rPr>
      </w:pPr>
      <w:r w:rsidRPr="00896DD9">
        <w:rPr>
          <w:b/>
        </w:rPr>
        <w:t>Conclusions</w:t>
      </w:r>
    </w:p>
    <w:p w:rsidR="00F85A1C" w:rsidRDefault="008F5B15">
      <w:r>
        <w:t>I have opened</w:t>
      </w:r>
      <w:r w:rsidR="00E75CE5">
        <w:t xml:space="preserve"> the question of what work we want the term ‘gender identity’ to do through its codification as a prohibited ground of discrimination</w:t>
      </w:r>
      <w:r w:rsidR="003735DE">
        <w:t xml:space="preserve"> in international law</w:t>
      </w:r>
      <w:r w:rsidR="00E75CE5">
        <w:t xml:space="preserve">. </w:t>
      </w:r>
      <w:r w:rsidR="003735DE">
        <w:t xml:space="preserve">I have argued that </w:t>
      </w:r>
      <w:r w:rsidR="00C62DB1">
        <w:t xml:space="preserve">we need </w:t>
      </w:r>
      <w:r w:rsidR="00E75CE5">
        <w:t xml:space="preserve">to promote its use it in such a way that its liberatory potential is maximized. Just as </w:t>
      </w:r>
      <w:r w:rsidR="00FB3393">
        <w:t>conflating</w:t>
      </w:r>
      <w:r w:rsidR="00E75CE5">
        <w:t xml:space="preserve"> </w:t>
      </w:r>
      <w:r w:rsidR="00FB3393">
        <w:t>‘</w:t>
      </w:r>
      <w:r w:rsidR="00E75CE5">
        <w:t>gender</w:t>
      </w:r>
      <w:r w:rsidR="00FB3393">
        <w:t>’</w:t>
      </w:r>
      <w:r w:rsidR="00E75CE5">
        <w:t xml:space="preserve"> with </w:t>
      </w:r>
      <w:r w:rsidR="00FB3393">
        <w:t>‘</w:t>
      </w:r>
      <w:r w:rsidR="00E75CE5">
        <w:t>women</w:t>
      </w:r>
      <w:r w:rsidR="00FB3393">
        <w:t>’</w:t>
      </w:r>
      <w:r w:rsidR="00E75CE5">
        <w:t xml:space="preserve"> limits our ability to make visible all forms of gendered harm, </w:t>
      </w:r>
      <w:r w:rsidR="00CC5931">
        <w:t xml:space="preserve">so </w:t>
      </w:r>
      <w:r w:rsidR="00E75CE5">
        <w:t xml:space="preserve">the conflation of </w:t>
      </w:r>
      <w:r w:rsidR="00FB3393">
        <w:t>‘</w:t>
      </w:r>
      <w:r w:rsidR="00E75CE5">
        <w:t>gender identity</w:t>
      </w:r>
      <w:r w:rsidR="00FB3393">
        <w:t>’</w:t>
      </w:r>
      <w:r w:rsidR="00E75CE5">
        <w:t xml:space="preserve"> with </w:t>
      </w:r>
      <w:r w:rsidR="00FB3393">
        <w:t>‘</w:t>
      </w:r>
      <w:r w:rsidR="00E75CE5">
        <w:t>transgendered people</w:t>
      </w:r>
      <w:r w:rsidR="00FB3393">
        <w:t>’</w:t>
      </w:r>
      <w:r w:rsidR="00E75CE5">
        <w:t xml:space="preserve"> limits our ability to </w:t>
      </w:r>
      <w:r w:rsidR="00CC5931">
        <w:t xml:space="preserve">treat gender as a </w:t>
      </w:r>
      <w:r>
        <w:t xml:space="preserve">fully </w:t>
      </w:r>
      <w:r w:rsidR="00CC5931">
        <w:t xml:space="preserve">social </w:t>
      </w:r>
      <w:r>
        <w:t xml:space="preserve">and performative </w:t>
      </w:r>
      <w:r w:rsidR="00CC5931">
        <w:t>category</w:t>
      </w:r>
      <w:r>
        <w:t xml:space="preserve"> that plays a key role in shaping everyone’s access to resources and opportunities in life</w:t>
      </w:r>
      <w:r w:rsidR="00CC5931">
        <w:t>. I</w:t>
      </w:r>
      <w:r w:rsidR="00CC5931" w:rsidRPr="00E75CE5">
        <w:t xml:space="preserve">f </w:t>
      </w:r>
      <w:r w:rsidR="00C62DB1">
        <w:t>international (</w:t>
      </w:r>
      <w:r w:rsidR="00CC5931" w:rsidRPr="00E75CE5">
        <w:t>human rights</w:t>
      </w:r>
      <w:r w:rsidR="00C62DB1">
        <w:t>)</w:t>
      </w:r>
      <w:r w:rsidR="00CC5931" w:rsidRPr="00E75CE5">
        <w:t xml:space="preserve"> law is ever to realize the potential it has to operate as a</w:t>
      </w:r>
      <w:r>
        <w:t>n</w:t>
      </w:r>
      <w:r w:rsidR="00CC5931" w:rsidRPr="00E75CE5">
        <w:t xml:space="preserve"> inclusive language of emancipation and justice</w:t>
      </w:r>
      <w:r w:rsidR="00CC5931">
        <w:t>, f</w:t>
      </w:r>
      <w:r w:rsidR="00CC5931" w:rsidRPr="00E75CE5">
        <w:t xml:space="preserve">eminist and queer human rights advocates must </w:t>
      </w:r>
      <w:r w:rsidR="00CC5931">
        <w:t xml:space="preserve">find ways to </w:t>
      </w:r>
      <w:r w:rsidR="00CC5931" w:rsidRPr="00E75CE5">
        <w:t xml:space="preserve">work together in </w:t>
      </w:r>
      <w:r w:rsidR="00E75CE5" w:rsidRPr="00E75CE5">
        <w:t xml:space="preserve">the project of queering gender </w:t>
      </w:r>
      <w:r w:rsidR="00C62DB1">
        <w:t xml:space="preserve">[identity] </w:t>
      </w:r>
      <w:r w:rsidR="00E75CE5" w:rsidRPr="00E75CE5">
        <w:t xml:space="preserve">in international law. </w:t>
      </w:r>
      <w:r w:rsidR="003E6A71">
        <w:t>Understanding sex/gender/gender identity as performative brings the co</w:t>
      </w:r>
      <w:r w:rsidR="00373691">
        <w:t>alitional</w:t>
      </w:r>
      <w:r w:rsidR="003E6A71">
        <w:t xml:space="preserve"> project into focus, as a struggle against the same restrictions on the performance of gender, within a hegemonic heterosexual matrix</w:t>
      </w:r>
      <w:r w:rsidR="00373691">
        <w:t>,</w:t>
      </w:r>
      <w:r w:rsidR="003E6A71">
        <w:t xml:space="preserve"> that requires stable, dualistic</w:t>
      </w:r>
      <w:r w:rsidR="00373691">
        <w:t xml:space="preserve"> and</w:t>
      </w:r>
      <w:r w:rsidR="00532192">
        <w:t xml:space="preserve"> disciplined</w:t>
      </w:r>
      <w:r w:rsidR="003E6A71">
        <w:t xml:space="preserve"> sexed </w:t>
      </w:r>
      <w:r w:rsidR="003E6A71">
        <w:lastRenderedPageBreak/>
        <w:t xml:space="preserve">bodies. </w:t>
      </w:r>
      <w:r w:rsidR="00D84FA2">
        <w:t xml:space="preserve">One pressing coalitional task is </w:t>
      </w:r>
      <w:r w:rsidR="00373691">
        <w:t xml:space="preserve">to revise </w:t>
      </w:r>
      <w:r w:rsidR="00D84FA2">
        <w:t>the Yogy</w:t>
      </w:r>
      <w:r w:rsidR="003735DE">
        <w:t>a</w:t>
      </w:r>
      <w:r w:rsidR="00D84FA2">
        <w:t>karta Principles</w:t>
      </w:r>
      <w:r w:rsidR="003E6A71">
        <w:t xml:space="preserve"> so that they are inclusive of all gender identities</w:t>
      </w:r>
      <w:r w:rsidR="00393F9A">
        <w:t xml:space="preserve"> and informed by feminist perspectives. A</w:t>
      </w:r>
      <w:r w:rsidR="00D84FA2">
        <w:t xml:space="preserve">nother is to encourage the CEDAW Committee </w:t>
      </w:r>
      <w:r w:rsidR="00C62DB1">
        <w:t xml:space="preserve">to </w:t>
      </w:r>
      <w:r>
        <w:t xml:space="preserve">overcome its resistance to </w:t>
      </w:r>
      <w:r w:rsidR="00D84FA2">
        <w:t xml:space="preserve">embracing </w:t>
      </w:r>
      <w:r w:rsidR="00C62DB1">
        <w:t>sex/</w:t>
      </w:r>
      <w:r w:rsidR="00D84FA2">
        <w:t>gender</w:t>
      </w:r>
      <w:r w:rsidR="00C62DB1">
        <w:t>/gender identity</w:t>
      </w:r>
      <w:r>
        <w:t xml:space="preserve"> </w:t>
      </w:r>
      <w:r w:rsidR="00D84FA2">
        <w:t xml:space="preserve">as a </w:t>
      </w:r>
      <w:r>
        <w:t xml:space="preserve">fully </w:t>
      </w:r>
      <w:r w:rsidR="00D84FA2">
        <w:t>social category in its work.</w:t>
      </w:r>
      <w:r w:rsidR="008027CA">
        <w:t xml:space="preserve"> The shift to a performative understanding in international law, of how bodies come to be sexed</w:t>
      </w:r>
      <w:r w:rsidR="00796DFB">
        <w:t xml:space="preserve"> and thus are made vulnerable to gendered human rights abuses,</w:t>
      </w:r>
      <w:r w:rsidR="008027CA">
        <w:t xml:space="preserve"> has barely begun.</w:t>
      </w:r>
    </w:p>
    <w:p w:rsidR="00F85A1C" w:rsidRDefault="00F85A1C"/>
    <w:sectPr w:rsidR="00F85A1C" w:rsidSect="00184428">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2FCD" w:rsidRDefault="00EC2FCD">
      <w:r>
        <w:separator/>
      </w:r>
    </w:p>
  </w:endnote>
  <w:endnote w:type="continuationSeparator" w:id="0">
    <w:p w:rsidR="00EC2FCD" w:rsidRDefault="00EC2F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FCD" w:rsidRDefault="00EC2FCD">
    <w:pPr>
      <w:pStyle w:val="Footer"/>
    </w:pPr>
    <w:r>
      <w:tab/>
    </w:r>
    <w:r w:rsidR="00EF08B6">
      <w:fldChar w:fldCharType="begin"/>
    </w:r>
    <w:r w:rsidR="00EF08B6">
      <w:instrText xml:space="preserve"> PAGE   \* MER</w:instrText>
    </w:r>
    <w:r w:rsidR="00EF08B6">
      <w:instrText xml:space="preserve">GEFORMAT </w:instrText>
    </w:r>
    <w:r w:rsidR="00EF08B6">
      <w:fldChar w:fldCharType="separate"/>
    </w:r>
    <w:r w:rsidR="00EF08B6">
      <w:rPr>
        <w:noProof/>
      </w:rPr>
      <w:t>20</w:t>
    </w:r>
    <w:r w:rsidR="00EF08B6">
      <w:rPr>
        <w:noProof/>
      </w:rPr>
      <w:fldChar w:fldCharType="end"/>
    </w:r>
  </w:p>
  <w:p w:rsidR="00EC2FCD" w:rsidRDefault="00EC2FCD" w:rsidP="008D62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2FCD" w:rsidRDefault="00EC2FCD" w:rsidP="008D62C3">
      <w:pPr>
        <w:spacing w:after="0" w:line="240" w:lineRule="auto"/>
      </w:pPr>
      <w:r>
        <w:separator/>
      </w:r>
    </w:p>
  </w:footnote>
  <w:footnote w:type="continuationSeparator" w:id="0">
    <w:p w:rsidR="00EC2FCD" w:rsidRDefault="00EC2FCD" w:rsidP="00C42C5F">
      <w:pPr>
        <w:spacing w:after="0" w:line="240" w:lineRule="auto"/>
      </w:pPr>
      <w:r>
        <w:continuationSeparator/>
      </w:r>
    </w:p>
  </w:footnote>
  <w:footnote w:id="1">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sym w:font="Symbol" w:char="F02A"/>
      </w:r>
      <w:r w:rsidRPr="00424098">
        <w:rPr>
          <w:rFonts w:ascii="Times New Roman" w:hAnsi="Times New Roman" w:cs="Times New Roman"/>
        </w:rPr>
        <w:t xml:space="preserve"> Francine V McNiff </w:t>
      </w:r>
      <w:r w:rsidRPr="00424098">
        <w:rPr>
          <w:rFonts w:ascii="Times New Roman" w:hAnsi="Times New Roman" w:cs="Times New Roman"/>
          <w:lang w:val="en-AU"/>
        </w:rPr>
        <w:t>Professor of Human Rights Law, Director of the Institute for International Law and the Humanities (IILAH), Melbourne Law School, The University of Melbourne, Australia. Grateful thanks to both Candice Parr and Kalia Laycock-Walsh for their invaluable research assistance. Thanks also to two anonymous referees for their thoughtful comments on an earlier draft.</w:t>
      </w:r>
    </w:p>
  </w:footnote>
  <w:footnote w:id="2">
    <w:p w:rsidR="00EC2FCD" w:rsidRPr="00424098" w:rsidRDefault="00EC2FCD" w:rsidP="008D62C3">
      <w:pPr>
        <w:spacing w:after="0" w:line="240" w:lineRule="auto"/>
        <w:rPr>
          <w:rFonts w:ascii="Times New Roman" w:hAnsi="Times New Roman" w:cs="Times New Roman"/>
          <w:sz w:val="20"/>
          <w:szCs w:val="20"/>
        </w:rPr>
      </w:pPr>
      <w:r w:rsidRPr="00424098">
        <w:rPr>
          <w:rStyle w:val="FootnoteReference"/>
          <w:rFonts w:ascii="Times New Roman" w:hAnsi="Times New Roman"/>
          <w:sz w:val="20"/>
          <w:szCs w:val="20"/>
        </w:rPr>
        <w:footnoteRef/>
      </w:r>
      <w:r w:rsidRPr="00424098">
        <w:rPr>
          <w:rFonts w:ascii="Times New Roman" w:hAnsi="Times New Roman" w:cs="Times New Roman"/>
          <w:sz w:val="20"/>
          <w:szCs w:val="20"/>
        </w:rPr>
        <w:t xml:space="preserve">‘Here Are All the Different Genders You Can Be on Facebook’, </w:t>
      </w:r>
      <w:r w:rsidRPr="00424098">
        <w:rPr>
          <w:rFonts w:ascii="Times New Roman" w:hAnsi="Times New Roman" w:cs="Times New Roman"/>
          <w:i/>
          <w:sz w:val="20"/>
          <w:szCs w:val="20"/>
        </w:rPr>
        <w:t>Future Tense: The Citizen’s Guide to the Future</w:t>
      </w:r>
      <w:r w:rsidRPr="00424098">
        <w:rPr>
          <w:rFonts w:ascii="Times New Roman" w:hAnsi="Times New Roman" w:cs="Times New Roman"/>
          <w:sz w:val="20"/>
          <w:szCs w:val="20"/>
        </w:rPr>
        <w:t>, (New York, 13 February 2014) &lt;</w:t>
      </w:r>
      <w:hyperlink r:id="rId1" w:history="1">
        <w:r w:rsidRPr="00424098">
          <w:rPr>
            <w:rStyle w:val="Hyperlink"/>
            <w:rFonts w:ascii="Times New Roman" w:hAnsi="Times New Roman"/>
            <w:sz w:val="20"/>
            <w:szCs w:val="20"/>
          </w:rPr>
          <w:t>http://www.slate.com/blogs/future_tense/2014/02/13/facebook_custom_gender_options_here_are_all_56_custom_options.html</w:t>
        </w:r>
      </w:hyperlink>
      <w:r w:rsidRPr="00424098">
        <w:rPr>
          <w:rFonts w:ascii="Times New Roman" w:hAnsi="Times New Roman" w:cs="Times New Roman"/>
          <w:sz w:val="20"/>
          <w:szCs w:val="20"/>
        </w:rPr>
        <w:t>&gt;. The gender identity choices are not provided as a full list, but a drop-down menu of options is provided once you type the first letter into an empty text field. Interestingly, there is no option to craft your own gender identity if it is not on the list, nor can you leave the field blank.</w:t>
      </w:r>
    </w:p>
  </w:footnote>
  <w:footnote w:id="3">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See ‘Wild Quiz: What’s your Gender Identity’, at UnBoxifyMe, </w:t>
      </w:r>
      <w:hyperlink r:id="rId2" w:history="1">
        <w:r w:rsidRPr="00424098">
          <w:rPr>
            <w:rStyle w:val="Hyperlink"/>
            <w:rFonts w:ascii="Times New Roman" w:hAnsi="Times New Roman"/>
          </w:rPr>
          <w:t>http://unboxifyme.com/wild-quiz-whats-your-gender-identity/</w:t>
        </w:r>
      </w:hyperlink>
      <w:r w:rsidRPr="00424098">
        <w:rPr>
          <w:rFonts w:ascii="Times New Roman" w:hAnsi="Times New Roman" w:cs="Times New Roman"/>
        </w:rPr>
        <w:t>.</w:t>
      </w:r>
    </w:p>
  </w:footnote>
  <w:footnote w:id="4">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‘Cisgender’ refers to those whose sex  assignment at birth conforms to their self-identity as a man or woman. The term is often used to mean the opposite of ‘transgender’. See, for example, Paula Blank, ‘Will “Cisgender” Survive?’ </w:t>
      </w:r>
      <w:r w:rsidRPr="00424098">
        <w:rPr>
          <w:rFonts w:ascii="Times New Roman" w:hAnsi="Times New Roman" w:cs="Times New Roman"/>
          <w:i/>
        </w:rPr>
        <w:t>The Atlantic</w:t>
      </w:r>
      <w:r w:rsidRPr="00424098">
        <w:rPr>
          <w:rFonts w:ascii="Times New Roman" w:hAnsi="Times New Roman" w:cs="Times New Roman"/>
        </w:rPr>
        <w:t xml:space="preserve"> (Washington, 24 September 2014) &lt;</w:t>
      </w:r>
      <w:hyperlink r:id="rId3" w:history="1">
        <w:r w:rsidRPr="00424098">
          <w:rPr>
            <w:rStyle w:val="Hyperlink"/>
            <w:rFonts w:ascii="Times New Roman" w:hAnsi="Times New Roman"/>
          </w:rPr>
          <w:t>http://www.theatlantic.com/entertainment/archive/2014/09/cisgenders-linguistic-uphill-battle/380342/</w:t>
        </w:r>
      </w:hyperlink>
      <w:r w:rsidRPr="00424098">
        <w:rPr>
          <w:rFonts w:ascii="Times New Roman" w:hAnsi="Times New Roman" w:cs="Times New Roman"/>
        </w:rPr>
        <w:t>&gt;.  However, this understanding relies on a separation of body and mind, that is inconsistent with performative understandings of gender, and continues to treat gender as a binary system, rather than as plurality and fluidity. Thanks to an anonymous reviewer for drawing my attention to this important point.</w:t>
      </w:r>
    </w:p>
  </w:footnote>
  <w:footnote w:id="5">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See further, ‘The International Bill of Gender Rights’, as adopted at the International Conference on Transgender Law and Employment Policy (ICTLEP), Houston, Texas, 17 June 1995,  &lt;</w:t>
      </w:r>
      <w:hyperlink r:id="rId4" w:history="1">
        <w:r w:rsidRPr="00424098">
          <w:rPr>
            <w:rStyle w:val="Hyperlink"/>
            <w:rFonts w:ascii="Times New Roman" w:hAnsi="Times New Roman"/>
          </w:rPr>
          <w:t>http://my.execpc.com/~dmmunson/billrights.htm</w:t>
        </w:r>
      </w:hyperlink>
      <w:r w:rsidRPr="00424098">
        <w:rPr>
          <w:rFonts w:ascii="Times New Roman" w:hAnsi="Times New Roman" w:cs="Times New Roman"/>
        </w:rPr>
        <w:t xml:space="preserve">&gt;. </w:t>
      </w:r>
    </w:p>
  </w:footnote>
  <w:footnote w:id="6">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My use of the square brackets signals a challenge to those who would distinguish ‘gender’ from ‘gender identity’ – something that I will later explain in more detail. The separation between feminist and queer work is also of concern in advocacy for sexuality rights. See </w:t>
      </w:r>
      <w:r w:rsidRPr="00424098">
        <w:rPr>
          <w:rFonts w:ascii="Times New Roman" w:hAnsi="Times New Roman" w:cs="Times New Roman"/>
          <w:bCs/>
        </w:rPr>
        <w:t xml:space="preserve">Dianne Otto, ‘Between Pleasure and Danger: Lesbian Human Rights’ (2014) </w:t>
      </w:r>
      <w:r w:rsidRPr="00424098">
        <w:rPr>
          <w:rFonts w:ascii="Times New Roman" w:hAnsi="Times New Roman" w:cs="Times New Roman"/>
          <w:bCs/>
          <w:i/>
        </w:rPr>
        <w:t>European Human Rights Law Review</w:t>
      </w:r>
      <w:r w:rsidRPr="00424098">
        <w:rPr>
          <w:rFonts w:ascii="Times New Roman" w:hAnsi="Times New Roman" w:cs="Times New Roman"/>
          <w:bCs/>
        </w:rPr>
        <w:t xml:space="preserve"> 618.</w:t>
      </w:r>
    </w:p>
  </w:footnote>
  <w:footnote w:id="7">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See, for example, Commission on Human Rights, ‘Report of the Expert Group Meeting on the Development of Guidelines for the Integration of Gender Perspectives into United Nations Human Rights Activities and Programmes’, UN Doc E/CN.4/1996/105 (20 November 1995) Annex [13]: ‘The term “gender” refers to the ways in which roles, attitudes, values and relationships regarding women and men are constructed by all societies all over the world … while the sex of a person is determined by nature, the gender of that person is socially constructed’.</w:t>
      </w:r>
    </w:p>
  </w:footnote>
  <w:footnote w:id="8">
    <w:p w:rsidR="00EC2FCD" w:rsidRPr="00424098" w:rsidRDefault="00EC2FCD" w:rsidP="00930ABC">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Judith Butler, ‘Gender Regulations’ in </w:t>
      </w:r>
      <w:r w:rsidRPr="00424098">
        <w:rPr>
          <w:rFonts w:ascii="Times New Roman" w:hAnsi="Times New Roman" w:cs="Times New Roman"/>
          <w:i/>
        </w:rPr>
        <w:t>Undoing Gender</w:t>
      </w:r>
      <w:r w:rsidRPr="00424098">
        <w:rPr>
          <w:rFonts w:ascii="Times New Roman" w:hAnsi="Times New Roman" w:cs="Times New Roman"/>
        </w:rPr>
        <w:t xml:space="preserve"> (Routledge 2004) p</w:t>
      </w:r>
      <w:r>
        <w:rPr>
          <w:rFonts w:ascii="Times New Roman" w:hAnsi="Times New Roman" w:cs="Times New Roman"/>
        </w:rPr>
        <w:t xml:space="preserve"> </w:t>
      </w:r>
      <w:r w:rsidRPr="00424098">
        <w:rPr>
          <w:rFonts w:ascii="Times New Roman" w:hAnsi="Times New Roman" w:cs="Times New Roman"/>
        </w:rPr>
        <w:t>40-42.</w:t>
      </w:r>
    </w:p>
  </w:footnote>
  <w:footnote w:id="9">
    <w:p w:rsidR="00EC2FCD" w:rsidRPr="00424098" w:rsidRDefault="00EC2FCD" w:rsidP="003C36A1">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See Andrew N </w:t>
      </w:r>
      <w:r w:rsidRPr="00424098">
        <w:rPr>
          <w:rFonts w:ascii="Times New Roman" w:hAnsi="Times New Roman" w:cs="Times New Roman"/>
          <w:lang w:val="en-AU"/>
        </w:rPr>
        <w:t xml:space="preserve">Sharpe, </w:t>
      </w:r>
      <w:r w:rsidRPr="00424098">
        <w:rPr>
          <w:rFonts w:ascii="Times New Roman" w:hAnsi="Times New Roman" w:cs="Times New Roman"/>
          <w:bCs/>
          <w:i/>
          <w:lang w:val="en-AU"/>
        </w:rPr>
        <w:t xml:space="preserve">Transgender Jurisprudence: Dysohoric Bodies of Law </w:t>
      </w:r>
      <w:r w:rsidRPr="00424098">
        <w:rPr>
          <w:rFonts w:ascii="Times New Roman" w:hAnsi="Times New Roman" w:cs="Times New Roman"/>
          <w:lang w:val="en-AU"/>
        </w:rPr>
        <w:t>(2</w:t>
      </w:r>
      <w:r w:rsidRPr="00424098">
        <w:rPr>
          <w:rFonts w:ascii="Times New Roman" w:hAnsi="Times New Roman" w:cs="Times New Roman"/>
          <w:vertAlign w:val="superscript"/>
          <w:lang w:val="en-AU"/>
        </w:rPr>
        <w:t>nd</w:t>
      </w:r>
      <w:r w:rsidRPr="00424098">
        <w:rPr>
          <w:rFonts w:ascii="Times New Roman" w:hAnsi="Times New Roman" w:cs="Times New Roman"/>
          <w:lang w:val="en-AU"/>
        </w:rPr>
        <w:t xml:space="preserve"> edition, Routledge-Cavendish, 2006) p 9. For common law systems, the (bio)logic approach was set out by Ormond J of the former English Probate Division in </w:t>
      </w:r>
      <w:r w:rsidRPr="00424098">
        <w:rPr>
          <w:rFonts w:ascii="Times New Roman" w:hAnsi="Times New Roman" w:cs="Times New Roman"/>
          <w:i/>
          <w:lang w:val="en-AU"/>
        </w:rPr>
        <w:t>Corbett v Corbett</w:t>
      </w:r>
      <w:r>
        <w:rPr>
          <w:rFonts w:ascii="Times New Roman" w:hAnsi="Times New Roman" w:cs="Times New Roman"/>
          <w:lang w:val="en-AU"/>
        </w:rPr>
        <w:t xml:space="preserve"> [1971] 2 All ER 33</w:t>
      </w:r>
      <w:r w:rsidRPr="00424098">
        <w:rPr>
          <w:rFonts w:ascii="Times New Roman" w:hAnsi="Times New Roman" w:cs="Times New Roman"/>
          <w:lang w:val="en-AU"/>
        </w:rPr>
        <w:t xml:space="preserve">. He held that, in the context of marriage, sex is a biological matter determined at birth by chromosomes, gonads and genitals. This approach was confirmed by the House of Lords as recently as 2003 in </w:t>
      </w:r>
      <w:r w:rsidRPr="00424098">
        <w:rPr>
          <w:rFonts w:ascii="Times New Roman" w:hAnsi="Times New Roman" w:cs="Times New Roman"/>
          <w:i/>
          <w:lang w:val="en-AU"/>
        </w:rPr>
        <w:t>Bellinger v Bellinger</w:t>
      </w:r>
      <w:r w:rsidRPr="00424098">
        <w:rPr>
          <w:rFonts w:ascii="Times New Roman" w:hAnsi="Times New Roman" w:cs="Times New Roman"/>
          <w:lang w:val="en-AU"/>
        </w:rPr>
        <w:t xml:space="preserve"> [2003] 2 AC 467, 473.</w:t>
      </w:r>
    </w:p>
  </w:footnote>
  <w:footnote w:id="10">
    <w:p w:rsidR="00EC2FCD" w:rsidRPr="00424098" w:rsidRDefault="00EC2FCD" w:rsidP="003C36A1">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See, for example, </w:t>
      </w:r>
      <w:r w:rsidRPr="00424098">
        <w:rPr>
          <w:rFonts w:ascii="Times New Roman" w:hAnsi="Times New Roman" w:cs="Times New Roman"/>
          <w:i/>
        </w:rPr>
        <w:t>AB v Western Australia</w:t>
      </w:r>
      <w:r w:rsidRPr="00424098">
        <w:rPr>
          <w:rFonts w:ascii="Times New Roman" w:hAnsi="Times New Roman" w:cs="Times New Roman"/>
        </w:rPr>
        <w:t xml:space="preserve"> (2011) 244 CLR 390, where the High Court of Australia interpreted legislation regulating when sex recorded on a birth certificate could be changed, to depend on external rather than internal physical characteristics (genital surgery was not a requirement) and on identification as such by ‘other members of society’.</w:t>
      </w:r>
    </w:p>
  </w:footnote>
  <w:footnote w:id="11">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‘Yogyakarta Principles on the Application of International Human Rights Law in relation to Sexual Orientation and Gender Identity’ (International Commission of Jurists, 2007) (Yogyakarta Principles).</w:t>
      </w:r>
    </w:p>
  </w:footnote>
  <w:footnote w:id="12">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For a persuasive development of this position see Margaret Davies, ‘Taking the Inside Out: Sex and Gender in the Legal Subject’ in Ngaire Naffine and Rosemary J Owens (eds), </w:t>
      </w:r>
      <w:r w:rsidRPr="00424098">
        <w:rPr>
          <w:rFonts w:ascii="Times New Roman" w:hAnsi="Times New Roman" w:cs="Times New Roman"/>
          <w:i/>
        </w:rPr>
        <w:t>Sexing the Subject of Law</w:t>
      </w:r>
      <w:r w:rsidRPr="00424098">
        <w:rPr>
          <w:rFonts w:ascii="Times New Roman" w:hAnsi="Times New Roman" w:cs="Times New Roman"/>
        </w:rPr>
        <w:t xml:space="preserve"> (North Ryde, LBC Information Service and Sweet and Maxwell 1997) 25. </w:t>
      </w:r>
    </w:p>
  </w:footnote>
  <w:footnote w:id="13">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Judith Butler, </w:t>
      </w:r>
      <w:r w:rsidRPr="00424098">
        <w:rPr>
          <w:rFonts w:ascii="Times New Roman" w:hAnsi="Times New Roman" w:cs="Times New Roman"/>
          <w:bCs/>
          <w:i/>
        </w:rPr>
        <w:t>Gender Trouble: Feminism and the Subversion of Identity</w:t>
      </w:r>
      <w:r w:rsidRPr="00424098">
        <w:rPr>
          <w:rFonts w:ascii="Times New Roman" w:hAnsi="Times New Roman" w:cs="Times New Roman"/>
        </w:rPr>
        <w:t xml:space="preserve"> (Routledge 1990) 25.</w:t>
      </w:r>
    </w:p>
  </w:footnote>
  <w:footnote w:id="14">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My thanks to Janet Halley who adopted these abbreviated forms to describe current US feminist projects. Janet Halley, </w:t>
      </w:r>
      <w:r w:rsidRPr="00424098">
        <w:rPr>
          <w:rFonts w:ascii="Times New Roman" w:hAnsi="Times New Roman" w:cs="Times New Roman"/>
          <w:i/>
        </w:rPr>
        <w:t>Split Decisions: How and Why to Take a Break from Feminism</w:t>
      </w:r>
      <w:r w:rsidRPr="00424098">
        <w:rPr>
          <w:rFonts w:ascii="Times New Roman" w:hAnsi="Times New Roman" w:cs="Times New Roman"/>
        </w:rPr>
        <w:t xml:space="preserve"> (Princeton University Press 2006) 17-18. </w:t>
      </w:r>
    </w:p>
  </w:footnote>
  <w:footnote w:id="15">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iCs/>
        </w:rPr>
        <w:t>Brussels Declaration Concerning the Laws and Customs of War</w:t>
      </w:r>
      <w:r w:rsidRPr="00424098">
        <w:rPr>
          <w:rFonts w:ascii="Times New Roman" w:hAnsi="Times New Roman" w:cs="Times New Roman"/>
        </w:rPr>
        <w:t xml:space="preserve"> 1874 art XXXVIII; </w:t>
      </w:r>
      <w:r w:rsidRPr="00424098">
        <w:rPr>
          <w:rFonts w:ascii="Times New Roman" w:hAnsi="Times New Roman" w:cs="Times New Roman"/>
          <w:iCs/>
        </w:rPr>
        <w:t>Manual of the Laws and Customs of War on Land</w:t>
      </w:r>
      <w:r w:rsidRPr="00424098">
        <w:rPr>
          <w:rFonts w:ascii="Times New Roman" w:hAnsi="Times New Roman" w:cs="Times New Roman"/>
        </w:rPr>
        <w:t xml:space="preserve"> 1880 art 49; Convention Respecting the Laws and Customs of War on Land 1899, 32 Stat 1803 art XLVI; Convention Respecting the Laws and Customs of War on Land 1907 (entered into force 26 January 1910) 36 Stat 2277  art XLVI.</w:t>
      </w:r>
    </w:p>
  </w:footnote>
  <w:footnote w:id="16">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See, for example</w:t>
      </w:r>
      <w:r w:rsidRPr="00424098">
        <w:rPr>
          <w:rFonts w:ascii="Times New Roman" w:hAnsi="Times New Roman" w:cs="Times New Roman"/>
          <w:lang w:val="en-AU"/>
        </w:rPr>
        <w:t xml:space="preserve">. Sara Ruddick, </w:t>
      </w:r>
      <w:r w:rsidRPr="00424098">
        <w:rPr>
          <w:rFonts w:ascii="Times New Roman" w:hAnsi="Times New Roman" w:cs="Times New Roman"/>
          <w:i/>
          <w:lang w:val="en-AU"/>
        </w:rPr>
        <w:t>Maternal Thinking: Towards a Politics of Peace</w:t>
      </w:r>
      <w:r w:rsidRPr="00424098">
        <w:rPr>
          <w:rFonts w:ascii="Times New Roman" w:hAnsi="Times New Roman" w:cs="Times New Roman"/>
          <w:lang w:val="en-AU"/>
        </w:rPr>
        <w:t xml:space="preserve"> (Boston: Beacon Press 1989).</w:t>
      </w:r>
    </w:p>
  </w:footnote>
  <w:footnote w:id="17">
    <w:p w:rsidR="00EC2FCD" w:rsidRPr="00424098" w:rsidRDefault="00EC2FCD">
      <w:pPr>
        <w:pStyle w:val="footnotetext2"/>
        <w:rPr>
          <w:rFonts w:cs="Times New Roman"/>
          <w:lang w:val="en-AU"/>
        </w:rPr>
      </w:pPr>
      <w:r w:rsidRPr="00424098">
        <w:rPr>
          <w:rStyle w:val="FootnoteReference"/>
        </w:rPr>
        <w:footnoteRef/>
      </w:r>
      <w:r w:rsidRPr="00424098">
        <w:rPr>
          <w:rFonts w:cs="Times New Roman"/>
        </w:rPr>
        <w:t xml:space="preserve"> Dianne Otto, ‘International Human Rights Law: Towards Rethinking Sex/Gender Dualism’ in Margaret Davies and Vanessa Munro (eds), </w:t>
      </w:r>
      <w:r w:rsidRPr="00424098">
        <w:rPr>
          <w:rFonts w:cs="Times New Roman"/>
          <w:i/>
        </w:rPr>
        <w:t>A Research Companion to Feminist Legal Theory</w:t>
      </w:r>
      <w:r w:rsidRPr="00424098">
        <w:rPr>
          <w:rFonts w:cs="Times New Roman"/>
        </w:rPr>
        <w:t xml:space="preserve"> (Ashgate Companion Series, 2013) 19.</w:t>
      </w:r>
    </w:p>
  </w:footnote>
  <w:footnote w:id="18">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Convention on the Elimination of All Forms of Discrimination Against Women (adopted 18 December 1979, entered into force 3 September 1981) 1249 UNTS 13 (CEDAW). </w:t>
      </w:r>
    </w:p>
  </w:footnote>
  <w:footnote w:id="19">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For discussion, see Darren Rosenblum,‘Unsex CEDAW, or what’s wrong with women’s rights’ (2011) 20(2) </w:t>
      </w:r>
      <w:r w:rsidRPr="00424098">
        <w:rPr>
          <w:rFonts w:ascii="Times New Roman" w:hAnsi="Times New Roman" w:cs="Times New Roman"/>
          <w:i/>
        </w:rPr>
        <w:t>Columbia Journal of Gender and Law</w:t>
      </w:r>
      <w:r w:rsidRPr="00424098">
        <w:rPr>
          <w:rFonts w:ascii="Times New Roman" w:hAnsi="Times New Roman" w:cs="Times New Roman"/>
        </w:rPr>
        <w:t xml:space="preserve"> 98.</w:t>
      </w:r>
    </w:p>
  </w:footnote>
  <w:footnote w:id="20">
    <w:p w:rsidR="00EC2FCD" w:rsidRPr="00424098" w:rsidRDefault="00EC2FCD" w:rsidP="00D96331">
      <w:pPr>
        <w:pStyle w:val="Footnote"/>
        <w:ind w:firstLine="0"/>
        <w:jc w:val="left"/>
        <w:rPr>
          <w:rFonts w:cs="Times New Roman"/>
          <w:sz w:val="20"/>
          <w:szCs w:val="20"/>
        </w:rPr>
      </w:pPr>
      <w:r w:rsidRPr="00424098">
        <w:rPr>
          <w:rFonts w:cs="Times New Roman"/>
          <w:sz w:val="20"/>
          <w:szCs w:val="20"/>
          <w:vertAlign w:val="superscript"/>
        </w:rPr>
        <w:footnoteRef/>
      </w:r>
      <w:r w:rsidRPr="00424098">
        <w:rPr>
          <w:rFonts w:cs="Times New Roman"/>
          <w:sz w:val="20"/>
          <w:szCs w:val="20"/>
        </w:rPr>
        <w:t xml:space="preserve"> Ratna Kapur, ‘The Tragedy of Victimisation Rhetoric: Resurrecting the “Native” Subject in International/Postcolonial Feminist Legal Politics’ (2001) 10 </w:t>
      </w:r>
      <w:r w:rsidRPr="00424098">
        <w:rPr>
          <w:rStyle w:val="italic"/>
          <w:rFonts w:cs="Times New Roman"/>
          <w:iCs/>
          <w:sz w:val="20"/>
          <w:szCs w:val="20"/>
        </w:rPr>
        <w:t>Columbia J of Gender and L</w:t>
      </w:r>
      <w:r w:rsidRPr="00424098">
        <w:rPr>
          <w:rFonts w:cs="Times New Roman"/>
          <w:sz w:val="20"/>
          <w:szCs w:val="20"/>
        </w:rPr>
        <w:t xml:space="preserve"> 333.</w:t>
      </w:r>
    </w:p>
  </w:footnote>
  <w:footnote w:id="21">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 xml:space="preserve">Sharpe, n </w:t>
      </w:r>
      <w:r w:rsidRPr="00424098">
        <w:rPr>
          <w:rFonts w:ascii="Times New Roman" w:hAnsi="Times New Roman" w:cs="Times New Roman"/>
          <w:lang w:val="en-AU"/>
        </w:rPr>
        <w:fldChar w:fldCharType="begin"/>
      </w:r>
      <w:r w:rsidRPr="00424098">
        <w:rPr>
          <w:rFonts w:ascii="Times New Roman" w:hAnsi="Times New Roman" w:cs="Times New Roman"/>
          <w:lang w:val="en-AU"/>
        </w:rPr>
        <w:instrText xml:space="preserve"> NOTEREF _Ref431735530 \h  \* MERGEFORMAT </w:instrText>
      </w:r>
      <w:r w:rsidRPr="00424098">
        <w:rPr>
          <w:rFonts w:ascii="Times New Roman" w:hAnsi="Times New Roman" w:cs="Times New Roman"/>
          <w:lang w:val="en-AU"/>
        </w:rPr>
      </w:r>
      <w:r w:rsidRPr="00424098">
        <w:rPr>
          <w:rFonts w:ascii="Times New Roman" w:hAnsi="Times New Roman" w:cs="Times New Roman"/>
          <w:lang w:val="en-AU"/>
        </w:rPr>
        <w:fldChar w:fldCharType="separate"/>
      </w:r>
      <w:r w:rsidR="006E1812">
        <w:rPr>
          <w:rFonts w:ascii="Times New Roman" w:hAnsi="Times New Roman" w:cs="Times New Roman"/>
          <w:lang w:val="en-AU"/>
        </w:rPr>
        <w:t>8</w:t>
      </w:r>
      <w:r w:rsidRPr="00424098">
        <w:rPr>
          <w:rFonts w:ascii="Times New Roman" w:hAnsi="Times New Roman" w:cs="Times New Roman"/>
          <w:lang w:val="en-AU"/>
        </w:rPr>
        <w:fldChar w:fldCharType="end"/>
      </w:r>
      <w:r w:rsidRPr="00424098">
        <w:rPr>
          <w:rFonts w:ascii="Times New Roman" w:hAnsi="Times New Roman" w:cs="Times New Roman"/>
          <w:lang w:val="en-AU"/>
        </w:rPr>
        <w:t>, 58-75.</w:t>
      </w:r>
    </w:p>
  </w:footnote>
  <w:footnote w:id="22">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 xml:space="preserve">CEDAW, n </w:t>
      </w:r>
      <w:r>
        <w:rPr>
          <w:rFonts w:ascii="Times New Roman" w:hAnsi="Times New Roman" w:cs="Times New Roman"/>
        </w:rPr>
        <w:fldChar w:fldCharType="begin"/>
      </w:r>
      <w:r>
        <w:rPr>
          <w:rFonts w:ascii="Times New Roman" w:hAnsi="Times New Roman" w:cs="Times New Roman"/>
          <w:lang w:val="en-AU"/>
        </w:rPr>
        <w:instrText xml:space="preserve"> NOTEREF _Ref298422954 \h </w:instrText>
      </w:r>
      <w:r>
        <w:rPr>
          <w:rFonts w:ascii="Times New Roman" w:hAnsi="Times New Roman" w:cs="Times New Roman"/>
        </w:rPr>
      </w:r>
      <w:r>
        <w:rPr>
          <w:rFonts w:ascii="Times New Roman" w:hAnsi="Times New Roman" w:cs="Times New Roman"/>
        </w:rPr>
        <w:fldChar w:fldCharType="separate"/>
      </w:r>
      <w:r w:rsidR="006E1812">
        <w:rPr>
          <w:rFonts w:ascii="Times New Roman" w:hAnsi="Times New Roman" w:cs="Times New Roman"/>
          <w:lang w:val="en-AU"/>
        </w:rPr>
        <w:t>17</w:t>
      </w:r>
      <w:r>
        <w:rPr>
          <w:rFonts w:ascii="Times New Roman" w:hAnsi="Times New Roman" w:cs="Times New Roman"/>
        </w:rPr>
        <w:fldChar w:fldCharType="end"/>
      </w:r>
      <w:r w:rsidRPr="00424098">
        <w:rPr>
          <w:rFonts w:ascii="Times New Roman" w:hAnsi="Times New Roman" w:cs="Times New Roman"/>
          <w:lang w:val="en-AU"/>
        </w:rPr>
        <w:t>, preamble [14].</w:t>
      </w:r>
    </w:p>
  </w:footnote>
  <w:footnote w:id="23">
    <w:p w:rsidR="00EC2FCD" w:rsidRPr="00424098" w:rsidRDefault="00EC2FCD" w:rsidP="008D62C3">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Surya Monro, ‘Transgender: Destabilising Feminisms?’ in Vanessa Munro and Carl F Stychin (eds), </w:t>
      </w:r>
      <w:r w:rsidRPr="00424098">
        <w:rPr>
          <w:rFonts w:ascii="Times New Roman" w:hAnsi="Times New Roman" w:cs="Times New Roman"/>
          <w:i/>
        </w:rPr>
        <w:t>Sexuality and the Law: Feminist Engagements</w:t>
      </w:r>
      <w:r w:rsidRPr="00424098">
        <w:rPr>
          <w:rFonts w:ascii="Times New Roman" w:hAnsi="Times New Roman" w:cs="Times New Roman"/>
        </w:rPr>
        <w:t xml:space="preserve"> (Routledge-Cavendish, 2007) 125. </w:t>
      </w:r>
    </w:p>
  </w:footnote>
  <w:footnote w:id="24">
    <w:p w:rsidR="00EC2FCD" w:rsidRPr="00424098" w:rsidRDefault="00EC2FCD" w:rsidP="00FC447F">
      <w:pPr>
        <w:spacing w:after="0" w:line="240" w:lineRule="auto"/>
        <w:rPr>
          <w:rFonts w:ascii="Times New Roman" w:hAnsi="Times New Roman" w:cs="Times New Roman"/>
          <w:sz w:val="20"/>
          <w:szCs w:val="20"/>
        </w:rPr>
      </w:pPr>
      <w:r w:rsidRPr="00424098">
        <w:rPr>
          <w:rStyle w:val="FootnoteReference"/>
          <w:rFonts w:ascii="Times New Roman" w:hAnsi="Times New Roman"/>
          <w:sz w:val="20"/>
          <w:szCs w:val="20"/>
        </w:rPr>
        <w:footnoteRef/>
      </w:r>
      <w:r w:rsidRPr="00424098">
        <w:rPr>
          <w:rFonts w:ascii="Times New Roman" w:hAnsi="Times New Roman" w:cs="Times New Roman"/>
          <w:sz w:val="20"/>
          <w:szCs w:val="20"/>
        </w:rPr>
        <w:t xml:space="preserve"> Rikki Holtmaat, ‘The CEDAW: a holistic approach to women’s equality and freedom’ in Anne Hellum and Henriette Sinding Aasen (eds), </w:t>
      </w:r>
      <w:r w:rsidRPr="00424098">
        <w:rPr>
          <w:rFonts w:ascii="Times New Roman" w:hAnsi="Times New Roman" w:cs="Times New Roman"/>
          <w:bCs/>
          <w:i/>
          <w:sz w:val="20"/>
          <w:szCs w:val="20"/>
        </w:rPr>
        <w:t>Women’s Human Rights: CEDAW in International, Regional and National Law</w:t>
      </w:r>
      <w:r w:rsidRPr="00424098">
        <w:rPr>
          <w:rFonts w:ascii="Times New Roman" w:hAnsi="Times New Roman" w:cs="Times New Roman"/>
          <w:sz w:val="20"/>
          <w:szCs w:val="20"/>
        </w:rPr>
        <w:t xml:space="preserve"> (Cambridge University Press, 2013) 95, 115-116.</w:t>
      </w:r>
    </w:p>
  </w:footnote>
  <w:footnote w:id="25">
    <w:p w:rsidR="00EC2FCD" w:rsidRPr="00424098" w:rsidRDefault="00EC2FCD" w:rsidP="00FC447F">
      <w:pPr>
        <w:spacing w:after="0" w:line="240" w:lineRule="auto"/>
        <w:rPr>
          <w:rFonts w:ascii="Times New Roman" w:hAnsi="Times New Roman" w:cs="Times New Roman"/>
          <w:sz w:val="20"/>
          <w:szCs w:val="20"/>
        </w:rPr>
      </w:pPr>
      <w:r w:rsidRPr="00424098">
        <w:rPr>
          <w:rStyle w:val="FootnoteReference"/>
          <w:rFonts w:ascii="Times New Roman" w:hAnsi="Times New Roman"/>
          <w:sz w:val="20"/>
          <w:szCs w:val="20"/>
        </w:rPr>
        <w:footnoteRef/>
      </w:r>
      <w:r w:rsidRPr="00424098">
        <w:rPr>
          <w:rFonts w:ascii="Times New Roman" w:hAnsi="Times New Roman" w:cs="Times New Roman"/>
          <w:sz w:val="20"/>
          <w:szCs w:val="20"/>
        </w:rPr>
        <w:t xml:space="preserve"> Dianne Otto, ‘Holding Up Half the Sky but for Whose Benefit? A Critical Analysis of the Fourth World Conference on Women' (1996) 6 </w:t>
      </w:r>
      <w:hyperlink r:id="rId5" w:history="1">
        <w:r w:rsidRPr="00424098">
          <w:rPr>
            <w:rStyle w:val="Hyperlink"/>
            <w:rFonts w:ascii="Times New Roman" w:hAnsi="Times New Roman"/>
            <w:i/>
            <w:iCs/>
            <w:color w:val="auto"/>
            <w:sz w:val="20"/>
            <w:szCs w:val="20"/>
            <w:u w:val="none"/>
          </w:rPr>
          <w:t>Australian Feminist Law Journal</w:t>
        </w:r>
      </w:hyperlink>
      <w:r w:rsidRPr="00424098">
        <w:rPr>
          <w:rFonts w:ascii="Times New Roman" w:hAnsi="Times New Roman" w:cs="Times New Roman"/>
          <w:sz w:val="20"/>
          <w:szCs w:val="20"/>
        </w:rPr>
        <w:t xml:space="preserve"> 7, 11-12.</w:t>
      </w:r>
    </w:p>
  </w:footnote>
  <w:footnote w:id="26">
    <w:p w:rsidR="00EC2FCD" w:rsidRPr="00424098" w:rsidRDefault="00EC2FCD" w:rsidP="00475725">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See, for example, the Final Statement of the Holy See made at the Concluding Ceremony of the Fourth World Conference on Women; ‘The term "gender" is understood by the Holy See as grounded in biological sexual identity, male or female’: Holy See (Fourth World Conference on Women, Beijng, 15 September 1995) &lt;</w:t>
      </w:r>
      <w:hyperlink r:id="rId6" w:history="1">
        <w:r w:rsidRPr="00424098">
          <w:rPr>
            <w:rStyle w:val="Hyperlink"/>
            <w:rFonts w:ascii="Times New Roman" w:hAnsi="Times New Roman"/>
          </w:rPr>
          <w:t>http://www.its.caltech.edu/~nmcenter/women-cp/beijing3.html</w:t>
        </w:r>
      </w:hyperlink>
      <w:r w:rsidRPr="00424098">
        <w:rPr>
          <w:rFonts w:ascii="Times New Roman" w:hAnsi="Times New Roman" w:cs="Times New Roman"/>
        </w:rPr>
        <w:t xml:space="preserve">&gt;. See also, Vanja Hamzic, ‘The Case of “Queer Muslims": Sexual Orientation and Gender Identity in International Human Rights Law and Muslim Legal and Social Ethos’ (2011) 11/2 </w:t>
      </w:r>
      <w:r w:rsidRPr="00424098">
        <w:rPr>
          <w:rFonts w:ascii="Times New Roman" w:hAnsi="Times New Roman" w:cs="Times New Roman"/>
          <w:i/>
        </w:rPr>
        <w:t>Human Rights Law Review</w:t>
      </w:r>
      <w:r w:rsidRPr="00424098">
        <w:rPr>
          <w:rFonts w:ascii="Times New Roman" w:hAnsi="Times New Roman" w:cs="Times New Roman"/>
        </w:rPr>
        <w:t xml:space="preserve"> 237, 245-247.</w:t>
      </w:r>
    </w:p>
  </w:footnote>
  <w:footnote w:id="27">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Otto, n </w:t>
      </w:r>
      <w:r>
        <w:rPr>
          <w:rFonts w:ascii="Times New Roman" w:hAnsi="Times New Roman" w:cs="Times New Roman"/>
        </w:rPr>
        <w:fldChar w:fldCharType="begin"/>
      </w:r>
      <w:r>
        <w:rPr>
          <w:rFonts w:ascii="Times New Roman" w:hAnsi="Times New Roman" w:cs="Times New Roman"/>
        </w:rPr>
        <w:instrText xml:space="preserve"> NOTEREF _Ref431739235 \h </w:instrText>
      </w:r>
      <w:r>
        <w:rPr>
          <w:rFonts w:ascii="Times New Roman" w:hAnsi="Times New Roman" w:cs="Times New Roman"/>
        </w:rPr>
      </w:r>
      <w:r>
        <w:rPr>
          <w:rFonts w:ascii="Times New Roman" w:hAnsi="Times New Roman" w:cs="Times New Roman"/>
        </w:rPr>
        <w:fldChar w:fldCharType="separate"/>
      </w:r>
      <w:r w:rsidR="006E1812">
        <w:rPr>
          <w:rFonts w:ascii="Times New Roman" w:hAnsi="Times New Roman" w:cs="Times New Roman"/>
        </w:rPr>
        <w:t>24</w:t>
      </w:r>
      <w:r>
        <w:rPr>
          <w:rFonts w:ascii="Times New Roman" w:hAnsi="Times New Roman" w:cs="Times New Roman"/>
        </w:rPr>
        <w:fldChar w:fldCharType="end"/>
      </w:r>
      <w:r w:rsidRPr="00424098">
        <w:rPr>
          <w:rFonts w:ascii="Times New Roman" w:hAnsi="Times New Roman" w:cs="Times New Roman"/>
        </w:rPr>
        <w:t>.</w:t>
      </w:r>
    </w:p>
  </w:footnote>
  <w:footnote w:id="28">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Pr>
          <w:rFonts w:ascii="Times New Roman" w:hAnsi="Times New Roman" w:cs="Times New Roman"/>
        </w:rPr>
        <w:t xml:space="preserve"> Commission on Human Rights,</w:t>
      </w:r>
      <w:r w:rsidRPr="00424098">
        <w:rPr>
          <w:rFonts w:ascii="Times New Roman" w:hAnsi="Times New Roman" w:cs="Times New Roman"/>
        </w:rPr>
        <w:t xml:space="preserve"> n </w:t>
      </w:r>
      <w:r>
        <w:rPr>
          <w:rFonts w:ascii="Times New Roman" w:hAnsi="Times New Roman" w:cs="Times New Roman"/>
        </w:rPr>
        <w:fldChar w:fldCharType="begin"/>
      </w:r>
      <w:r>
        <w:rPr>
          <w:rFonts w:ascii="Times New Roman" w:hAnsi="Times New Roman" w:cs="Times New Roman"/>
        </w:rPr>
        <w:instrText xml:space="preserve"> NOTEREF _Ref430707093 \h </w:instrText>
      </w:r>
      <w:r>
        <w:rPr>
          <w:rFonts w:ascii="Times New Roman" w:hAnsi="Times New Roman" w:cs="Times New Roman"/>
        </w:rPr>
      </w:r>
      <w:r>
        <w:rPr>
          <w:rFonts w:ascii="Times New Roman" w:hAnsi="Times New Roman" w:cs="Times New Roman"/>
        </w:rPr>
        <w:fldChar w:fldCharType="separate"/>
      </w:r>
      <w:r w:rsidR="006E1812">
        <w:rPr>
          <w:rFonts w:ascii="Times New Roman" w:hAnsi="Times New Roman" w:cs="Times New Roman"/>
        </w:rPr>
        <w:t>6</w:t>
      </w:r>
      <w:r>
        <w:rPr>
          <w:rFonts w:ascii="Times New Roman" w:hAnsi="Times New Roman" w:cs="Times New Roman"/>
        </w:rPr>
        <w:fldChar w:fldCharType="end"/>
      </w:r>
      <w:r w:rsidRPr="00424098">
        <w:rPr>
          <w:rFonts w:ascii="Times New Roman" w:hAnsi="Times New Roman" w:cs="Times New Roman"/>
        </w:rPr>
        <w:t>. More recently, see ‘UNESCO’s Gender Mainstreaming Implementation Framework (GMIF) for 2002-2007’ (UNESCO, 2003) annex 2: baseline definitions of key concepts and terms, 17 &lt;</w:t>
      </w:r>
      <w:hyperlink r:id="rId7" w:history="1">
        <w:r w:rsidRPr="00424098">
          <w:rPr>
            <w:rStyle w:val="Hyperlink"/>
            <w:rFonts w:ascii="Times New Roman" w:hAnsi="Times New Roman"/>
            <w:iCs/>
          </w:rPr>
          <w:t>http://unesdoc.unesco.org/images/0013/001318/131854e.pdf</w:t>
        </w:r>
      </w:hyperlink>
      <w:r w:rsidRPr="00424098">
        <w:rPr>
          <w:rFonts w:ascii="Times New Roman" w:hAnsi="Times New Roman" w:cs="Times New Roman"/>
        </w:rPr>
        <w:t xml:space="preserve"> </w:t>
      </w:r>
      <w:hyperlink r:id="rId8" w:history="1"/>
      <w:r w:rsidRPr="00424098">
        <w:rPr>
          <w:rFonts w:ascii="Times New Roman" w:hAnsi="Times New Roman" w:cs="Times New Roman"/>
        </w:rPr>
        <w:t xml:space="preserve">&gt;. </w:t>
      </w:r>
    </w:p>
  </w:footnote>
  <w:footnote w:id="29">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Wendy O’Brien, ‘Can International Human Rights Law Accommodate Bodily Diversity?’ (2015) 15 </w:t>
      </w:r>
      <w:r w:rsidRPr="00424098">
        <w:rPr>
          <w:rFonts w:ascii="Times New Roman" w:hAnsi="Times New Roman" w:cs="Times New Roman"/>
          <w:i/>
        </w:rPr>
        <w:t>Human Rights Law Review</w:t>
      </w:r>
      <w:r w:rsidRPr="00424098">
        <w:rPr>
          <w:rFonts w:ascii="Times New Roman" w:hAnsi="Times New Roman" w:cs="Times New Roman"/>
        </w:rPr>
        <w:t xml:space="preserve"> 1, 2.</w:t>
      </w:r>
    </w:p>
  </w:footnote>
  <w:footnote w:id="30">
    <w:p w:rsidR="00EC2FCD" w:rsidRPr="00424098" w:rsidRDefault="00EC2FCD" w:rsidP="004B51D3">
      <w:pPr>
        <w:pStyle w:val="Footnote"/>
        <w:spacing w:line="240" w:lineRule="auto"/>
        <w:ind w:firstLine="0"/>
        <w:jc w:val="left"/>
        <w:rPr>
          <w:rFonts w:cs="Times New Roman"/>
          <w:sz w:val="20"/>
          <w:szCs w:val="20"/>
        </w:rPr>
      </w:pPr>
      <w:r w:rsidRPr="00424098">
        <w:rPr>
          <w:rFonts w:cs="Times New Roman"/>
          <w:sz w:val="20"/>
          <w:szCs w:val="20"/>
          <w:vertAlign w:val="superscript"/>
        </w:rPr>
        <w:footnoteRef/>
      </w:r>
      <w:r w:rsidRPr="00424098">
        <w:rPr>
          <w:rFonts w:cs="Times New Roman"/>
          <w:sz w:val="20"/>
          <w:szCs w:val="20"/>
        </w:rPr>
        <w:t xml:space="preserve"> ‘Report of the Sixth Meeting of Persons Chairing the Human Rights Treaty Bodies’ (4 October 1995) </w:t>
      </w:r>
      <w:r>
        <w:rPr>
          <w:rFonts w:cs="Times New Roman"/>
          <w:sz w:val="20"/>
          <w:szCs w:val="20"/>
        </w:rPr>
        <w:t xml:space="preserve">UN Doc </w:t>
      </w:r>
      <w:r w:rsidRPr="00424098">
        <w:rPr>
          <w:rFonts w:cs="Times New Roman"/>
          <w:sz w:val="20"/>
          <w:szCs w:val="20"/>
        </w:rPr>
        <w:t xml:space="preserve">A/50/505 [34] (a)–(f). </w:t>
      </w:r>
    </w:p>
  </w:footnote>
  <w:footnote w:id="31">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bCs/>
        </w:rPr>
        <w:t xml:space="preserve">International Covenant on Civil and Political Rights </w:t>
      </w:r>
      <w:r w:rsidRPr="00424098">
        <w:rPr>
          <w:rFonts w:ascii="Times New Roman" w:hAnsi="Times New Roman" w:cs="Times New Roman"/>
        </w:rPr>
        <w:t>(adopted 16 December 1966, entered into force 23 March 1976) 999 UNTS 171</w:t>
      </w:r>
      <w:r w:rsidRPr="00424098">
        <w:rPr>
          <w:rFonts w:ascii="Times New Roman" w:hAnsi="Times New Roman" w:cs="Times New Roman"/>
          <w:bCs/>
        </w:rPr>
        <w:t xml:space="preserve"> (ICCPR).</w:t>
      </w:r>
    </w:p>
  </w:footnote>
  <w:footnote w:id="32">
    <w:p w:rsidR="00EC2FCD" w:rsidRPr="00424098" w:rsidRDefault="00EC2FCD" w:rsidP="008D62C3">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Human Rights Committee, ‘General Comment 28: Article 3 (The equality of rights between men and women)’ (2000)</w:t>
      </w:r>
      <w:r>
        <w:rPr>
          <w:rFonts w:ascii="Times New Roman" w:hAnsi="Times New Roman" w:cs="Times New Roman"/>
        </w:rPr>
        <w:t xml:space="preserve"> UN Doc </w:t>
      </w:r>
      <w:r w:rsidRPr="00424098">
        <w:rPr>
          <w:rFonts w:ascii="Times New Roman" w:hAnsi="Times New Roman" w:cs="Times New Roman"/>
        </w:rPr>
        <w:t>HRI/GEN/1/Rev.9 (Vol I) 228 [11].</w:t>
      </w:r>
    </w:p>
  </w:footnote>
  <w:footnote w:id="33">
    <w:p w:rsidR="00EC2FCD" w:rsidRPr="00424098" w:rsidRDefault="00EC2FCD" w:rsidP="008D62C3">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ibid [10].</w:t>
      </w:r>
    </w:p>
  </w:footnote>
  <w:footnote w:id="34">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bCs/>
        </w:rPr>
        <w:t xml:space="preserve">International Covenant on Economic, Social and Cultural Rights </w:t>
      </w:r>
      <w:r w:rsidRPr="00424098">
        <w:rPr>
          <w:rFonts w:ascii="Times New Roman" w:hAnsi="Times New Roman" w:cs="Times New Roman"/>
        </w:rPr>
        <w:t>(adopted 16 December 1966, entered into force 3 January 1976)  999 UNTS 3</w:t>
      </w:r>
      <w:r w:rsidRPr="00424098">
        <w:rPr>
          <w:rFonts w:ascii="Times New Roman" w:hAnsi="Times New Roman" w:cs="Times New Roman"/>
          <w:bCs/>
        </w:rPr>
        <w:t xml:space="preserve"> (ICESCR).</w:t>
      </w:r>
    </w:p>
  </w:footnote>
  <w:footnote w:id="35">
    <w:p w:rsidR="00EC2FCD" w:rsidRPr="00424098" w:rsidRDefault="00EC2FCD" w:rsidP="008D62C3">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Committee on Economic, Social and Cultural Rights, ‘General Comment 16: The Equal Right of Men and Women to the Enjoyment of All Economic, Social and Cultural Rights (Art. 3 of the Covenant)’ (2005) </w:t>
      </w:r>
      <w:r>
        <w:rPr>
          <w:rFonts w:ascii="Times New Roman" w:hAnsi="Times New Roman" w:cs="Times New Roman"/>
        </w:rPr>
        <w:t xml:space="preserve">UN Doc </w:t>
      </w:r>
      <w:r w:rsidRPr="00424098">
        <w:rPr>
          <w:rFonts w:ascii="Times New Roman" w:hAnsi="Times New Roman" w:cs="Times New Roman"/>
          <w:lang w:val="en-AU" w:eastAsia="en-AU"/>
        </w:rPr>
        <w:t>E/C.12/2005/4</w:t>
      </w:r>
      <w:r w:rsidRPr="00424098">
        <w:rPr>
          <w:rFonts w:ascii="Times New Roman" w:hAnsi="Times New Roman" w:cs="Times New Roman"/>
          <w:lang w:val="en-AU"/>
        </w:rPr>
        <w:t xml:space="preserve"> [26]. Note, unlike CEDAW, the wording of ICESCR does not limit its prohibition of sex discrimination </w:t>
      </w:r>
      <w:r>
        <w:rPr>
          <w:rFonts w:ascii="Times New Roman" w:hAnsi="Times New Roman" w:cs="Times New Roman"/>
          <w:lang w:val="en-AU"/>
        </w:rPr>
        <w:t>to discrimination against women</w:t>
      </w:r>
      <w:r w:rsidRPr="00424098">
        <w:rPr>
          <w:rFonts w:ascii="Times New Roman" w:hAnsi="Times New Roman" w:cs="Times New Roman"/>
          <w:lang w:val="en-AU"/>
        </w:rPr>
        <w:t>.</w:t>
      </w:r>
    </w:p>
  </w:footnote>
  <w:footnote w:id="36">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Convention Against Torture and Other Cruel, Inhuman and Degrading Treatment or Punishment</w:t>
      </w:r>
      <w:r w:rsidRPr="00424098">
        <w:rPr>
          <w:rFonts w:ascii="Times New Roman" w:hAnsi="Times New Roman" w:cs="Times New Roman"/>
          <w:i/>
        </w:rPr>
        <w:t xml:space="preserve"> </w:t>
      </w:r>
      <w:r w:rsidRPr="00424098">
        <w:rPr>
          <w:rFonts w:ascii="Times New Roman" w:hAnsi="Times New Roman" w:cs="Times New Roman"/>
        </w:rPr>
        <w:t>(adopted 10 December 1984, entered into force 26 June 1987) 1465 UNTS 85 (CAT).</w:t>
      </w:r>
    </w:p>
  </w:footnote>
  <w:footnote w:id="37">
    <w:p w:rsidR="00EC2FCD" w:rsidRPr="00424098" w:rsidRDefault="00EC2FCD" w:rsidP="00C42C5F">
      <w:pPr>
        <w:pStyle w:val="Footnote"/>
        <w:spacing w:line="240" w:lineRule="auto"/>
        <w:ind w:firstLine="0"/>
        <w:jc w:val="left"/>
        <w:rPr>
          <w:rFonts w:cs="Times New Roman"/>
          <w:sz w:val="20"/>
          <w:szCs w:val="20"/>
        </w:rPr>
      </w:pPr>
      <w:r w:rsidRPr="00424098">
        <w:rPr>
          <w:rFonts w:cs="Times New Roman"/>
          <w:sz w:val="20"/>
          <w:szCs w:val="20"/>
          <w:vertAlign w:val="superscript"/>
        </w:rPr>
        <w:footnoteRef/>
      </w:r>
      <w:r w:rsidRPr="00424098">
        <w:rPr>
          <w:rFonts w:cs="Times New Roman"/>
          <w:sz w:val="20"/>
          <w:szCs w:val="20"/>
        </w:rPr>
        <w:t xml:space="preserve"> Committee Against Torture, ‘General Comment 2: Implementation of Article 2 by State Parties’ (2007) UN Doc HRI/GEN/1/Rev.9 (Vol II) 376 (27 May 2008) [22].</w:t>
      </w:r>
    </w:p>
  </w:footnote>
  <w:footnote w:id="38">
    <w:p w:rsidR="00EC2FCD" w:rsidRPr="00424098" w:rsidRDefault="00EC2FCD" w:rsidP="008D62C3">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ibid.</w:t>
      </w:r>
    </w:p>
  </w:footnote>
  <w:footnote w:id="39">
    <w:p w:rsidR="00EC2FCD" w:rsidRPr="00424098" w:rsidRDefault="00EC2FCD" w:rsidP="008D62C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Titia Loenen, ‘Rethinking Sex Equality as a Human Right’ (1994)12 </w:t>
      </w:r>
      <w:r w:rsidRPr="00424098">
        <w:rPr>
          <w:rFonts w:ascii="Times New Roman" w:hAnsi="Times New Roman" w:cs="Times New Roman"/>
          <w:bCs/>
          <w:i/>
        </w:rPr>
        <w:t>Netherlands Quarterly of Human Rights</w:t>
      </w:r>
      <w:r w:rsidRPr="00424098">
        <w:rPr>
          <w:rFonts w:ascii="Times New Roman" w:hAnsi="Times New Roman" w:cs="Times New Roman"/>
        </w:rPr>
        <w:t xml:space="preserve"> 253; Bertha Esperanza Hernandez-Truyol, ‘Unsex CEDAW? No! Super-Sex It!’ (2011) 20 </w:t>
      </w:r>
      <w:r w:rsidRPr="00424098">
        <w:rPr>
          <w:rFonts w:ascii="Times New Roman" w:hAnsi="Times New Roman" w:cs="Times New Roman"/>
          <w:bCs/>
          <w:i/>
        </w:rPr>
        <w:t>Columbia J of Gender and L</w:t>
      </w:r>
      <w:r w:rsidRPr="00424098">
        <w:rPr>
          <w:rFonts w:ascii="Times New Roman" w:hAnsi="Times New Roman" w:cs="Times New Roman"/>
        </w:rPr>
        <w:t xml:space="preserve"> 195; Nalini Persram, ‘Politicizing the Feminine, Globalizing the Feminist’ (1994) 19 </w:t>
      </w:r>
      <w:r w:rsidRPr="00424098">
        <w:rPr>
          <w:rFonts w:ascii="Times New Roman" w:hAnsi="Times New Roman" w:cs="Times New Roman"/>
          <w:bCs/>
          <w:i/>
        </w:rPr>
        <w:t xml:space="preserve">Alternatives </w:t>
      </w:r>
      <w:r w:rsidRPr="00424098">
        <w:rPr>
          <w:rFonts w:ascii="Times New Roman" w:hAnsi="Times New Roman" w:cs="Times New Roman"/>
        </w:rPr>
        <w:t>285, 287</w:t>
      </w:r>
      <w:r w:rsidRPr="00424098">
        <w:rPr>
          <w:rFonts w:ascii="Times New Roman" w:hAnsi="Times New Roman" w:cs="Times New Roman"/>
          <w:lang w:eastAsia="en-AU"/>
        </w:rPr>
        <w:t>.</w:t>
      </w:r>
    </w:p>
  </w:footnote>
  <w:footnote w:id="40">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Sally Baden and Anne Marie Goetz, ‘Who Needs [Sex] When You Can Have [Gender]? Conflicting discourses on gender at Beijing’, in Cecile Jackson and Ruth Pearson eds, </w:t>
      </w:r>
      <w:r w:rsidRPr="00424098">
        <w:rPr>
          <w:rFonts w:ascii="Times New Roman" w:hAnsi="Times New Roman" w:cs="Times New Roman"/>
          <w:i/>
        </w:rPr>
        <w:t xml:space="preserve">Feminist Visions of Development: Gender Analysis and Policy </w:t>
      </w:r>
      <w:r w:rsidRPr="00424098">
        <w:rPr>
          <w:rFonts w:ascii="Times New Roman" w:hAnsi="Times New Roman" w:cs="Times New Roman"/>
        </w:rPr>
        <w:t>(1998) 19.</w:t>
      </w:r>
    </w:p>
  </w:footnote>
  <w:footnote w:id="41">
    <w:p w:rsidR="00EC2FCD" w:rsidRPr="00424098" w:rsidRDefault="00EC2FCD" w:rsidP="008D62C3">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Alice M Miller, ‘Sexuality, Violence Against Women, and Human Rights: Women Make demands and Ladies Get Protection’ (2004) 7 </w:t>
      </w:r>
      <w:r w:rsidRPr="00424098">
        <w:rPr>
          <w:rFonts w:ascii="Times New Roman" w:hAnsi="Times New Roman" w:cs="Times New Roman"/>
          <w:bCs/>
          <w:i/>
        </w:rPr>
        <w:t>Health and Human Rights</w:t>
      </w:r>
      <w:r w:rsidRPr="00424098">
        <w:rPr>
          <w:rFonts w:ascii="Times New Roman" w:hAnsi="Times New Roman" w:cs="Times New Roman"/>
        </w:rPr>
        <w:t xml:space="preserve"> 17, 36-39; Cynthia Rothschild et al, </w:t>
      </w:r>
      <w:r w:rsidRPr="00424098">
        <w:rPr>
          <w:rFonts w:ascii="Times New Roman" w:hAnsi="Times New Roman" w:cs="Times New Roman"/>
          <w:i/>
        </w:rPr>
        <w:t>Written Out: How Sexuality is Used to Attack Women’s Organizing</w:t>
      </w:r>
      <w:r w:rsidRPr="00424098">
        <w:rPr>
          <w:rFonts w:ascii="Times New Roman" w:hAnsi="Times New Roman" w:cs="Times New Roman"/>
        </w:rPr>
        <w:t xml:space="preserve"> (revised edition, IGLHRC and CWGL, 2005).</w:t>
      </w:r>
    </w:p>
  </w:footnote>
  <w:footnote w:id="42">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IGLHRC, </w:t>
      </w:r>
      <w:r w:rsidRPr="00424098">
        <w:rPr>
          <w:rFonts w:ascii="Times New Roman" w:hAnsi="Times New Roman" w:cs="Times New Roman"/>
          <w:i/>
        </w:rPr>
        <w:t>Equal and Indivisible: Crafting Inclusive Shadow Reports for CEDAW</w:t>
      </w:r>
      <w:r w:rsidRPr="00424098">
        <w:rPr>
          <w:rFonts w:ascii="Times New Roman" w:hAnsi="Times New Roman" w:cs="Times New Roman"/>
        </w:rPr>
        <w:t xml:space="preserve"> (IGLHRC 2008) 3, &lt;</w:t>
      </w:r>
      <w:hyperlink r:id="rId9" w:history="1">
        <w:r w:rsidRPr="00424098">
          <w:rPr>
            <w:rStyle w:val="Hyperlink"/>
            <w:rFonts w:ascii="Times New Roman" w:hAnsi="Times New Roman"/>
          </w:rPr>
          <w:t>http://iglhrc.org/files/287-1.pdf</w:t>
        </w:r>
      </w:hyperlink>
      <w:r w:rsidRPr="00424098">
        <w:rPr>
          <w:rFonts w:ascii="Times New Roman" w:hAnsi="Times New Roman" w:cs="Times New Roman"/>
        </w:rPr>
        <w:t xml:space="preserve"> &gt;. The authors acknowledge that many feminists and queer theorists have moved away from the sex/gender binary arguing they are both given meaning socially, but maintain that for pragmatic reasons, in work with CEDAW, the binary remains useful.</w:t>
      </w:r>
    </w:p>
  </w:footnote>
  <w:footnote w:id="43">
    <w:p w:rsidR="00EC2FCD" w:rsidRPr="00424098" w:rsidRDefault="00EC2FCD" w:rsidP="008D62C3">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 xml:space="preserve">See for example, Halley, n </w:t>
      </w:r>
      <w:r>
        <w:rPr>
          <w:rFonts w:ascii="Times New Roman" w:hAnsi="Times New Roman" w:cs="Times New Roman"/>
        </w:rPr>
        <w:fldChar w:fldCharType="begin"/>
      </w:r>
      <w:r>
        <w:rPr>
          <w:rFonts w:ascii="Times New Roman" w:hAnsi="Times New Roman" w:cs="Times New Roman"/>
          <w:lang w:val="en-AU"/>
        </w:rPr>
        <w:instrText xml:space="preserve"> NOTEREF _Ref422940794 \h </w:instrText>
      </w:r>
      <w:r>
        <w:rPr>
          <w:rFonts w:ascii="Times New Roman" w:hAnsi="Times New Roman" w:cs="Times New Roman"/>
        </w:rPr>
      </w:r>
      <w:r>
        <w:rPr>
          <w:rFonts w:ascii="Times New Roman" w:hAnsi="Times New Roman" w:cs="Times New Roman"/>
        </w:rPr>
        <w:fldChar w:fldCharType="separate"/>
      </w:r>
      <w:r w:rsidR="006E1812">
        <w:rPr>
          <w:rFonts w:ascii="Times New Roman" w:hAnsi="Times New Roman" w:cs="Times New Roman"/>
          <w:lang w:val="en-AU"/>
        </w:rPr>
        <w:t>13</w:t>
      </w:r>
      <w:r>
        <w:rPr>
          <w:rFonts w:ascii="Times New Roman" w:hAnsi="Times New Roman" w:cs="Times New Roman"/>
        </w:rPr>
        <w:fldChar w:fldCharType="end"/>
      </w:r>
      <w:r w:rsidRPr="00424098">
        <w:rPr>
          <w:rFonts w:ascii="Times New Roman" w:hAnsi="Times New Roman" w:cs="Times New Roman"/>
          <w:lang w:val="en-AU"/>
        </w:rPr>
        <w:t>, who suggests the need to ‘take a break’ from feminism in order to see important dimensions of sexuality that feminism does not make visible. The same argument can be made with regard to feminist myopia about the links between their struggles for women’s rights and the human rights struggles of other gender identities.</w:t>
      </w:r>
    </w:p>
  </w:footnote>
  <w:footnote w:id="44">
    <w:p w:rsidR="00EC2FCD" w:rsidRPr="00424098" w:rsidRDefault="00EC2FCD" w:rsidP="008D62C3">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Dianne Otto,</w:t>
      </w:r>
      <w:r w:rsidRPr="00424098">
        <w:rPr>
          <w:rFonts w:ascii="Times New Roman" w:hAnsi="Times New Roman" w:cs="Times New Roman"/>
          <w:bCs/>
        </w:rPr>
        <w:t xml:space="preserve"> ‘</w:t>
      </w:r>
      <w:r w:rsidRPr="00424098">
        <w:rPr>
          <w:rFonts w:ascii="Times New Roman" w:hAnsi="Times New Roman" w:cs="Times New Roman"/>
        </w:rPr>
        <w:t xml:space="preserve">The Exile of Inclusion: Reflections on Gender Issues in International Law over the Last Decade’ (2009) 10 </w:t>
      </w:r>
      <w:r w:rsidRPr="00424098">
        <w:rPr>
          <w:rFonts w:ascii="Times New Roman" w:hAnsi="Times New Roman" w:cs="Times New Roman"/>
          <w:i/>
        </w:rPr>
        <w:t>Melbourne Journal of International Law</w:t>
      </w:r>
      <w:r w:rsidRPr="00424098">
        <w:rPr>
          <w:rFonts w:ascii="Times New Roman" w:hAnsi="Times New Roman" w:cs="Times New Roman"/>
        </w:rPr>
        <w:t xml:space="preserve"> 11.</w:t>
      </w:r>
    </w:p>
  </w:footnote>
  <w:footnote w:id="45">
    <w:p w:rsidR="00EC2FCD" w:rsidRPr="00424098" w:rsidRDefault="00EC2FCD" w:rsidP="00394571">
      <w:pPr>
        <w:spacing w:after="0" w:line="240" w:lineRule="auto"/>
        <w:rPr>
          <w:rFonts w:ascii="Times New Roman" w:hAnsi="Times New Roman" w:cs="Times New Roman"/>
          <w:sz w:val="20"/>
          <w:szCs w:val="20"/>
        </w:rPr>
      </w:pPr>
      <w:r w:rsidRPr="00424098">
        <w:rPr>
          <w:rStyle w:val="FootnoteReference"/>
          <w:rFonts w:ascii="Times New Roman" w:hAnsi="Times New Roman"/>
          <w:sz w:val="20"/>
          <w:szCs w:val="20"/>
        </w:rPr>
        <w:footnoteRef/>
      </w:r>
      <w:r w:rsidRPr="00424098">
        <w:rPr>
          <w:rFonts w:ascii="Times New Roman" w:hAnsi="Times New Roman" w:cs="Times New Roman"/>
          <w:sz w:val="20"/>
          <w:szCs w:val="20"/>
        </w:rPr>
        <w:t xml:space="preserve"> Michel Foucault, Graham Burchell, Colin Gordon and Peter Miller. </w:t>
      </w:r>
      <w:r w:rsidRPr="00424098">
        <w:rPr>
          <w:rFonts w:ascii="Times New Roman" w:hAnsi="Times New Roman" w:cs="Times New Roman"/>
          <w:i/>
          <w:iCs/>
          <w:sz w:val="20"/>
          <w:szCs w:val="20"/>
        </w:rPr>
        <w:t>The Foucault Effect: Studies in Governmentality</w:t>
      </w:r>
      <w:r w:rsidRPr="00424098">
        <w:rPr>
          <w:rFonts w:ascii="Times New Roman" w:hAnsi="Times New Roman" w:cs="Times New Roman"/>
          <w:sz w:val="20"/>
          <w:szCs w:val="20"/>
        </w:rPr>
        <w:t xml:space="preserve"> (University of Chicago Press, 1991).</w:t>
      </w:r>
    </w:p>
  </w:footnote>
  <w:footnote w:id="46">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bookmarkStart w:id="11" w:name="_Toc395549518"/>
      <w:r w:rsidRPr="00424098">
        <w:rPr>
          <w:rFonts w:ascii="Times New Roman" w:hAnsi="Times New Roman" w:cs="Times New Roman"/>
        </w:rPr>
        <w:t>See, for example, Committee on the Elimination of Discrimination Against Women, ‘Concluding Observations: Bosnia and Herzegovina</w:t>
      </w:r>
      <w:bookmarkEnd w:id="11"/>
      <w:r w:rsidRPr="00424098">
        <w:rPr>
          <w:rFonts w:ascii="Times New Roman" w:hAnsi="Times New Roman" w:cs="Times New Roman"/>
        </w:rPr>
        <w:t xml:space="preserve">’ (30 July 2013) UN Doc CEDAW/C/BIH/CO/4-5 [4(a)], where anti-discrimination legislation that includes ‘sexual expression’ and ‘sexual orientation’ as prohibited grounds of discrimination is welcomed; and </w:t>
      </w:r>
      <w:bookmarkStart w:id="12" w:name="_Toc395549533"/>
      <w:r w:rsidRPr="00424098">
        <w:rPr>
          <w:rFonts w:ascii="Times New Roman" w:hAnsi="Times New Roman" w:cs="Times New Roman"/>
        </w:rPr>
        <w:t>Committee on the Elimination of Discrimination Against Women, ‘Concluding Observations: Chile</w:t>
      </w:r>
      <w:bookmarkEnd w:id="12"/>
      <w:r w:rsidRPr="00424098">
        <w:rPr>
          <w:rFonts w:ascii="Times New Roman" w:hAnsi="Times New Roman" w:cs="Times New Roman"/>
        </w:rPr>
        <w:t>’ (12 November 2012) UN Doc CEDAW/C/CHL/CO/5-6 [46], where it is ‘noted’ that ‘a bill on de facto unions, which includes same-sex relationships, is before the Senate’.</w:t>
      </w:r>
    </w:p>
  </w:footnote>
  <w:footnote w:id="47">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Guidelines were developed in 2008 by the International Gay and Lesbian Human Rights Commission (IGLHRC), to help NGOs prepare shadow reports for the CEDAW Committee, which include human rights issues related to sexual orientation, gender identity and gender expression. See IGLHRC, n </w:t>
      </w:r>
      <w:r>
        <w:rPr>
          <w:rFonts w:ascii="Times New Roman" w:hAnsi="Times New Roman" w:cs="Times New Roman"/>
        </w:rPr>
        <w:fldChar w:fldCharType="begin"/>
      </w:r>
      <w:r>
        <w:rPr>
          <w:rFonts w:ascii="Times New Roman" w:hAnsi="Times New Roman" w:cs="Times New Roman"/>
        </w:rPr>
        <w:instrText xml:space="preserve"> NOTEREF _Ref431569180 \h </w:instrText>
      </w:r>
      <w:r>
        <w:rPr>
          <w:rFonts w:ascii="Times New Roman" w:hAnsi="Times New Roman" w:cs="Times New Roman"/>
        </w:rPr>
      </w:r>
      <w:r>
        <w:rPr>
          <w:rFonts w:ascii="Times New Roman" w:hAnsi="Times New Roman" w:cs="Times New Roman"/>
        </w:rPr>
        <w:fldChar w:fldCharType="separate"/>
      </w:r>
      <w:r w:rsidR="006E1812">
        <w:rPr>
          <w:rFonts w:ascii="Times New Roman" w:hAnsi="Times New Roman" w:cs="Times New Roman"/>
        </w:rPr>
        <w:t>41</w:t>
      </w:r>
      <w:r>
        <w:rPr>
          <w:rFonts w:ascii="Times New Roman" w:hAnsi="Times New Roman" w:cs="Times New Roman"/>
        </w:rPr>
        <w:fldChar w:fldCharType="end"/>
      </w:r>
      <w:r w:rsidRPr="00424098">
        <w:rPr>
          <w:rFonts w:ascii="Times New Roman" w:hAnsi="Times New Roman" w:cs="Times New Roman"/>
        </w:rPr>
        <w:t xml:space="preserve">. </w:t>
      </w:r>
    </w:p>
  </w:footnote>
  <w:footnote w:id="48">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These references can be grouped into five main areas of concern: violence against women, health issues, failure to prohibit discrimination, harmful stereotypes, and particularly disadvantaged or vulnerable women.</w:t>
      </w:r>
    </w:p>
  </w:footnote>
  <w:footnote w:id="49">
    <w:p w:rsidR="00EC2FCD" w:rsidRPr="00424098" w:rsidRDefault="00EC2FCD">
      <w:pPr>
        <w:pStyle w:val="Heading3"/>
        <w:rPr>
          <w:rFonts w:cs="Times New Roman"/>
          <w:sz w:val="20"/>
          <w:szCs w:val="20"/>
        </w:rPr>
      </w:pPr>
      <w:r w:rsidRPr="00424098">
        <w:rPr>
          <w:rStyle w:val="FootnoteReference"/>
          <w:b w:val="0"/>
          <w:color w:val="auto"/>
          <w:sz w:val="20"/>
          <w:szCs w:val="20"/>
        </w:rPr>
        <w:footnoteRef/>
      </w:r>
      <w:r w:rsidRPr="00424098">
        <w:rPr>
          <w:rFonts w:cs="Times New Roman"/>
          <w:sz w:val="20"/>
          <w:szCs w:val="20"/>
        </w:rPr>
        <w:t xml:space="preserve"> </w:t>
      </w:r>
      <w:bookmarkStart w:id="13" w:name="_Toc395549567"/>
      <w:r w:rsidRPr="00424098">
        <w:rPr>
          <w:rFonts w:cs="Times New Roman"/>
          <w:b w:val="0"/>
          <w:sz w:val="20"/>
          <w:szCs w:val="20"/>
        </w:rPr>
        <w:t>Committee on the Elimination of Discrimination Against Women, ‘</w:t>
      </w:r>
      <w:r w:rsidRPr="00424098">
        <w:rPr>
          <w:rFonts w:eastAsia="Calibri" w:cs="Times New Roman"/>
          <w:b w:val="0"/>
          <w:sz w:val="20"/>
          <w:szCs w:val="20"/>
        </w:rPr>
        <w:t>Concluding Observations: Sri Lanka</w:t>
      </w:r>
      <w:r w:rsidRPr="00424098">
        <w:rPr>
          <w:rFonts w:cs="Times New Roman"/>
          <w:b w:val="0"/>
          <w:sz w:val="20"/>
          <w:szCs w:val="20"/>
        </w:rPr>
        <w:t xml:space="preserve">’ (8 April 2011) UN Doc </w:t>
      </w:r>
      <w:r w:rsidRPr="00424098">
        <w:rPr>
          <w:rFonts w:eastAsia="Calibri" w:cs="Times New Roman"/>
          <w:b w:val="0"/>
          <w:sz w:val="20"/>
          <w:szCs w:val="20"/>
        </w:rPr>
        <w:t>CEDAW/C/LKA/CO/7</w:t>
      </w:r>
      <w:r w:rsidRPr="00424098">
        <w:rPr>
          <w:rFonts w:cs="Times New Roman"/>
          <w:b w:val="0"/>
          <w:sz w:val="20"/>
          <w:szCs w:val="20"/>
        </w:rPr>
        <w:t xml:space="preserve"> </w:t>
      </w:r>
      <w:r w:rsidRPr="00424098">
        <w:rPr>
          <w:rFonts w:eastAsia="Calibri" w:cs="Times New Roman"/>
          <w:b w:val="0"/>
          <w:sz w:val="20"/>
          <w:szCs w:val="20"/>
        </w:rPr>
        <w:t>[24].</w:t>
      </w:r>
      <w:r w:rsidRPr="00424098">
        <w:rPr>
          <w:rFonts w:eastAsia="Calibri" w:cs="Times New Roman"/>
          <w:sz w:val="20"/>
          <w:szCs w:val="20"/>
        </w:rPr>
        <w:t xml:space="preserve"> </w:t>
      </w:r>
      <w:bookmarkEnd w:id="13"/>
    </w:p>
  </w:footnote>
  <w:footnote w:id="50">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Mindy Jane Roseman and Alice M Miller, ‘Normalizing Sex and its Discontents: Establishing Sexual Rights in International Law’ (2011) 34 </w:t>
      </w:r>
      <w:r w:rsidRPr="00424098">
        <w:rPr>
          <w:rFonts w:ascii="Times New Roman" w:hAnsi="Times New Roman" w:cs="Times New Roman"/>
          <w:i/>
        </w:rPr>
        <w:t>Harvard Journal of Law and Gender</w:t>
      </w:r>
      <w:r w:rsidRPr="00424098">
        <w:rPr>
          <w:rFonts w:ascii="Times New Roman" w:hAnsi="Times New Roman" w:cs="Times New Roman"/>
        </w:rPr>
        <w:t xml:space="preserve"> 313, 353.</w:t>
      </w:r>
    </w:p>
  </w:footnote>
  <w:footnote w:id="51">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Comments made by</w:t>
      </w:r>
      <w:r w:rsidRPr="00424098">
        <w:rPr>
          <w:rFonts w:ascii="Times New Roman" w:hAnsi="Times New Roman" w:cs="Times New Roman"/>
          <w:lang w:val="en-AU"/>
        </w:rPr>
        <w:t xml:space="preserve"> Violetta Neubauer (Slovenia), former member of the CEDAW Committee (Sexual Freedom, Equality and Rights to Gender Identity Conference, Oslo, 11-12 December 2014)  (notes on file with author). </w:t>
      </w:r>
    </w:p>
  </w:footnote>
  <w:footnote w:id="52">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Jenna McGill, ‘SOGI….So What? Sexual Orientation, Gender Identity and Human Rights Discourse at the United Nations’ (2014) 3/1 </w:t>
      </w:r>
      <w:r w:rsidRPr="00424098">
        <w:rPr>
          <w:rFonts w:ascii="Times New Roman" w:hAnsi="Times New Roman" w:cs="Times New Roman"/>
          <w:i/>
        </w:rPr>
        <w:t>Canadian Journal of Human Rights</w:t>
      </w:r>
      <w:r w:rsidRPr="00424098">
        <w:rPr>
          <w:rFonts w:ascii="Times New Roman" w:hAnsi="Times New Roman" w:cs="Times New Roman"/>
        </w:rPr>
        <w:t xml:space="preserve"> 1, 23-25.</w:t>
      </w:r>
    </w:p>
  </w:footnote>
  <w:footnote w:id="53">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Concluding Observations of the Committee on the Elimination of Discrimination against Women: Finland, (10 March 2014) UN Doc CEDAW/W/C/FIN/CO/7 [28]; Concluding Observations of the Committee on the Elimination of Discrimination against Women: The Netherlands (5 February 2010) UN Doc CEDAW/C/NLD/CO/5, [46]-[47], also expressing concern about the non-reimbursement by health insurance of the cost of surgical breast implants.</w:t>
      </w:r>
    </w:p>
  </w:footnote>
  <w:footnote w:id="54">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Concluding Observations of the Committee on the Elimination of Discrimination against Women: Norway (23 March 2012) UN Doc CEDAW/C/NOR/CO/8 [35].</w:t>
      </w:r>
    </w:p>
  </w:footnote>
  <w:footnote w:id="55">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Grace Poore, ‘30 Years of CEDAW: Achievements and Continuing Challenges Towards The Realization of Women’s Human Rights’, International Gay and Lesbian Human Rights Commission (3 September 2009) &lt;</w:t>
      </w:r>
      <w:hyperlink r:id="rId10" w:history="1">
        <w:r w:rsidRPr="00424098">
          <w:rPr>
            <w:rStyle w:val="Hyperlink"/>
            <w:rFonts w:ascii="Times New Roman" w:hAnsi="Times New Roman"/>
          </w:rPr>
          <w:t>http://iglhrc.org/content/30-years-cedaw-achievements-continuing-challenges-towards-realization-women%E2%80%99s-human-rights</w:t>
        </w:r>
      </w:hyperlink>
      <w:r w:rsidRPr="00424098">
        <w:rPr>
          <w:rFonts w:ascii="Times New Roman" w:hAnsi="Times New Roman" w:cs="Times New Roman"/>
        </w:rPr>
        <w:t xml:space="preserve">&gt;. </w:t>
      </w:r>
    </w:p>
  </w:footnote>
  <w:footnote w:id="56">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Committee on the Elimination of Discrimination Against Women, ‘General Recommendation 28: The Core Obligations of States Parties under Article 2 of the Convention on the Elimination of All Forms of Discrimination against Women’ (16 December 2010) UN Doc CEDAW/C/GC/28 [5].</w:t>
      </w:r>
    </w:p>
  </w:footnote>
  <w:footnote w:id="57">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i</w:t>
      </w:r>
      <w:r w:rsidRPr="00424098">
        <w:rPr>
          <w:rFonts w:ascii="Times New Roman" w:hAnsi="Times New Roman" w:cs="Times New Roman"/>
          <w:lang w:val="en-AU"/>
        </w:rPr>
        <w:t>bid.</w:t>
      </w:r>
    </w:p>
  </w:footnote>
  <w:footnote w:id="58">
    <w:p w:rsidR="00EC2FCD" w:rsidRPr="00424098" w:rsidRDefault="00EC2FCD">
      <w:pPr>
        <w:pStyle w:val="Heading3"/>
        <w:rPr>
          <w:rFonts w:cs="Times New Roman"/>
          <w:b w:val="0"/>
          <w:sz w:val="20"/>
          <w:szCs w:val="20"/>
        </w:rPr>
      </w:pPr>
      <w:r w:rsidRPr="00424098">
        <w:rPr>
          <w:rStyle w:val="FootnoteReference"/>
          <w:b w:val="0"/>
          <w:sz w:val="20"/>
          <w:szCs w:val="20"/>
        </w:rPr>
        <w:footnoteRef/>
      </w:r>
      <w:r w:rsidRPr="00424098">
        <w:rPr>
          <w:rFonts w:cs="Times New Roman"/>
          <w:sz w:val="20"/>
          <w:szCs w:val="20"/>
        </w:rPr>
        <w:t xml:space="preserve"> </w:t>
      </w:r>
      <w:r w:rsidRPr="00424098">
        <w:rPr>
          <w:rFonts w:cs="Times New Roman"/>
          <w:b w:val="0"/>
          <w:sz w:val="20"/>
          <w:szCs w:val="20"/>
        </w:rPr>
        <w:t xml:space="preserve">Committee on the Elimination of Discrimination Against Women, ‘General Recommendation 27: </w:t>
      </w:r>
      <w:r w:rsidRPr="00424098">
        <w:rPr>
          <w:rFonts w:cs="Times New Roman"/>
          <w:b w:val="0"/>
          <w:color w:val="auto"/>
          <w:sz w:val="20"/>
          <w:szCs w:val="20"/>
        </w:rPr>
        <w:t>Older women and Protection of Their Human Rights’ (</w:t>
      </w:r>
      <w:r w:rsidRPr="00424098">
        <w:rPr>
          <w:rFonts w:cs="Times New Roman"/>
          <w:b w:val="0"/>
          <w:sz w:val="20"/>
          <w:szCs w:val="20"/>
        </w:rPr>
        <w:t xml:space="preserve">16 December 2010) UN Doc CEDAW/C/GC/27 [13]; ‘General Recommendation 28’, n </w:t>
      </w:r>
      <w:r w:rsidR="00EF08B6">
        <w:fldChar w:fldCharType="begin"/>
      </w:r>
      <w:r w:rsidR="00EF08B6">
        <w:instrText xml:space="preserve"> NOTEREF _Ref423446918 \h  \* MERGEFORMAT </w:instrText>
      </w:r>
      <w:r w:rsidR="00EF08B6">
        <w:fldChar w:fldCharType="separate"/>
      </w:r>
      <w:r w:rsidR="006E1812" w:rsidRPr="006E1812">
        <w:rPr>
          <w:rFonts w:cs="Times New Roman"/>
          <w:b w:val="0"/>
          <w:sz w:val="20"/>
          <w:szCs w:val="20"/>
        </w:rPr>
        <w:t>55</w:t>
      </w:r>
      <w:r w:rsidR="00EF08B6">
        <w:fldChar w:fldCharType="end"/>
      </w:r>
      <w:r w:rsidRPr="00424098">
        <w:rPr>
          <w:rFonts w:cs="Times New Roman"/>
          <w:b w:val="0"/>
          <w:sz w:val="20"/>
          <w:szCs w:val="20"/>
        </w:rPr>
        <w:t xml:space="preserve"> [18].</w:t>
      </w:r>
    </w:p>
  </w:footnote>
  <w:footnote w:id="59">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 xml:space="preserve">Butler, n </w:t>
      </w:r>
      <w:r w:rsidR="00EF08B6">
        <w:fldChar w:fldCharType="begin"/>
      </w:r>
      <w:r w:rsidR="00EF08B6">
        <w:instrText xml:space="preserve"> NOTEREF _Ref431736311 \h  \* MERGEFORMAT </w:instrText>
      </w:r>
      <w:r w:rsidR="00EF08B6">
        <w:fldChar w:fldCharType="separate"/>
      </w:r>
      <w:r w:rsidR="006E1812">
        <w:t>7</w:t>
      </w:r>
      <w:r w:rsidR="00EF08B6">
        <w:fldChar w:fldCharType="end"/>
      </w:r>
      <w:r w:rsidRPr="00424098">
        <w:rPr>
          <w:rFonts w:ascii="Times New Roman" w:hAnsi="Times New Roman" w:cs="Times New Roman"/>
          <w:lang w:val="en-AU"/>
        </w:rPr>
        <w:t>.</w:t>
      </w:r>
    </w:p>
  </w:footnote>
  <w:footnote w:id="60">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Brenda Cossman, ‘Gender Performance, Sexual Subjects and International Law’ (2002) 15 </w:t>
      </w:r>
      <w:r w:rsidRPr="00424098">
        <w:rPr>
          <w:rFonts w:ascii="Times New Roman" w:hAnsi="Times New Roman" w:cs="Times New Roman"/>
          <w:i/>
        </w:rPr>
        <w:t>Canadian Journal of Law and Jurisprudence</w:t>
      </w:r>
      <w:r w:rsidRPr="00424098">
        <w:rPr>
          <w:rFonts w:ascii="Times New Roman" w:hAnsi="Times New Roman" w:cs="Times New Roman"/>
        </w:rPr>
        <w:t xml:space="preserve"> 281, 289.</w:t>
      </w:r>
    </w:p>
  </w:footnote>
  <w:footnote w:id="61">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‘Report of the Special Rapporteur on the question of torture and other cruel, inhuman or degrading treatment or punishment, UN General Assembly’(3 July 2001) </w:t>
      </w:r>
      <w:r>
        <w:rPr>
          <w:rFonts w:ascii="Times New Roman" w:hAnsi="Times New Roman" w:cs="Times New Roman"/>
        </w:rPr>
        <w:t xml:space="preserve">UN Doc </w:t>
      </w:r>
      <w:r w:rsidRPr="00424098">
        <w:rPr>
          <w:rFonts w:ascii="Times New Roman" w:hAnsi="Times New Roman" w:cs="Times New Roman"/>
        </w:rPr>
        <w:t xml:space="preserve">A/56/156[17], concerned that transgendered people are ‘often subjected to violence … in order to “punish” them for transgressing gender barriers or for challenging predominant conceptions of gender roles’. </w:t>
      </w:r>
    </w:p>
  </w:footnote>
  <w:footnote w:id="62">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‘Report of the Special Rapporteur on extrajudicial, arbitrary and summary executions’ (2001) </w:t>
      </w:r>
      <w:r>
        <w:rPr>
          <w:rFonts w:ascii="Times New Roman" w:hAnsi="Times New Roman" w:cs="Times New Roman"/>
        </w:rPr>
        <w:t xml:space="preserve">UN Doc </w:t>
      </w:r>
      <w:r w:rsidRPr="00424098">
        <w:rPr>
          <w:rFonts w:ascii="Times New Roman" w:hAnsi="Times New Roman" w:cs="Times New Roman"/>
        </w:rPr>
        <w:t>E/CN.4/2001/9 [50], condemning threats against LGBT defenders.</w:t>
      </w:r>
    </w:p>
  </w:footnote>
  <w:footnote w:id="63">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See ‘Report of the Special Representative of the Secretary General on the situation of human rights defenders’ (22 March 2006) UN Doc E/CN.4/2006/95/Add.1 [290],  highlighting particular dangers faced by human rights defenders ‘associated with lesbian, gay, transgendered, bisexual and HIV-Aids issues in Jamaica’; ‘</w:t>
      </w:r>
      <w:r w:rsidRPr="00424098">
        <w:rPr>
          <w:rFonts w:ascii="Times New Roman" w:hAnsi="Times New Roman" w:cs="Times New Roman"/>
          <w:lang w:val="en-AU"/>
        </w:rPr>
        <w:t>Report of the Special Rapporteur on the right of everyone to the highest attainable standard of physical and mental health’ (16 February 2004)</w:t>
      </w:r>
      <w:r w:rsidRPr="00424098">
        <w:rPr>
          <w:rFonts w:ascii="Times New Roman" w:hAnsi="Times New Roman" w:cs="Times New Roman"/>
        </w:rPr>
        <w:t xml:space="preserve"> UN Doc E/CN.4/2004/49 [33], [38], [39], expressing concern about violence, discrimination and stigma that threatens the sexual and reproductive health of sexual minorities, making specific reference to ‘men who have sex with men, lesbians, and transgendered and bisexual people’</w:t>
      </w:r>
      <w:r w:rsidRPr="00424098">
        <w:rPr>
          <w:rFonts w:ascii="Times New Roman" w:hAnsi="Times New Roman" w:cs="Times New Roman"/>
          <w:lang w:val="en-AU"/>
        </w:rPr>
        <w:t xml:space="preserve">; ‘Report of the </w:t>
      </w:r>
      <w:r w:rsidRPr="00424098">
        <w:rPr>
          <w:rFonts w:ascii="Times New Roman" w:hAnsi="Times New Roman" w:cs="Times New Roman"/>
        </w:rPr>
        <w:t>Independent Expert on minority issues’ (6 January 2004)  UN Doc E/CN.4/2006/74 [28], [42], drawing attention to ‘multiple forms of exclusion’ of members of minority communities, including on the basis of ‘sexual orientation or gender expression that challenges social or cultural norms’.</w:t>
      </w:r>
    </w:p>
  </w:footnote>
  <w:footnote w:id="64">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 xml:space="preserve">Amnesty International, ‘Crimes of Hate, Conspiracy of Silence. Torture and Ill-treatment Based on Sexual Identity’ (AI Index ACT 40/016/2001, Amnesty International 2001); Human Rights Watch (HRW), ‘In A Time of Torture: The Assault on Justice in Egypt’s Crack-down on Homosexual Conduct’ (HRW 2004); Human Rights Watch, ‘Hated to Death: Homophobia, Violence and Jamaica’s HIV/AIDS Epidemic’ (HRW 2004); Human Rights Watch, ‘More than a Name: State-Sponsored Homophobia and its Consequences in South Africa’ (HRW 2003). </w:t>
      </w:r>
    </w:p>
  </w:footnote>
  <w:footnote w:id="65">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‘Report of the Special Rapporteur on the situation of human rights defenders’ UN Doc A/HRC/13/22 (30 December 2009) [49].</w:t>
      </w:r>
    </w:p>
  </w:footnote>
  <w:footnote w:id="66">
    <w:p w:rsidR="00EC2FCD" w:rsidRPr="00424098" w:rsidRDefault="00EC2FCD">
      <w:pPr>
        <w:pStyle w:val="footnotetext2"/>
        <w:rPr>
          <w:rFonts w:cs="Times New Roman"/>
          <w:lang w:val="en-AU"/>
        </w:rPr>
      </w:pPr>
      <w:r w:rsidRPr="00424098">
        <w:rPr>
          <w:rStyle w:val="FootnoteReference"/>
        </w:rPr>
        <w:footnoteRef/>
      </w:r>
      <w:r w:rsidRPr="00424098">
        <w:rPr>
          <w:rFonts w:cs="Times New Roman"/>
        </w:rPr>
        <w:t xml:space="preserve"> Conversation with Cynthia Rothschild, New York, 24 October 2014 (notes on file with author). See further, Dodo Karsay ‘How far has SIGII advocacy come at the UN and where is it heading? Assessing sexual orientation, gender identity, and intersex activism and key developments at the UN 2003-2014’ (ARC International 2014)  &lt;</w:t>
      </w:r>
      <w:hyperlink r:id="rId11" w:history="1">
        <w:r w:rsidRPr="00424098">
          <w:rPr>
            <w:rStyle w:val="Hyperlink"/>
          </w:rPr>
          <w:t>http://arc-international.net/wp-content/uploads/2013/09/How-far-has-SOGII-for-web.pdf</w:t>
        </w:r>
      </w:hyperlink>
      <w:r w:rsidRPr="00424098">
        <w:rPr>
          <w:rFonts w:cs="Times New Roman"/>
        </w:rPr>
        <w:t xml:space="preserve"> &gt;.</w:t>
      </w:r>
    </w:p>
  </w:footnote>
  <w:footnote w:id="67">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 xml:space="preserve">Office of the High Commissioner for Human Rights, </w:t>
      </w:r>
      <w:r w:rsidRPr="00424098">
        <w:rPr>
          <w:rFonts w:ascii="Times New Roman" w:hAnsi="Times New Roman" w:cs="Times New Roman"/>
          <w:i/>
          <w:lang w:val="en-AU"/>
        </w:rPr>
        <w:t xml:space="preserve">Born Free and Equal: Sexual Orientation and Gender Identity in International Human Rights Law </w:t>
      </w:r>
      <w:r w:rsidRPr="00424098">
        <w:rPr>
          <w:rFonts w:ascii="Times New Roman" w:hAnsi="Times New Roman" w:cs="Times New Roman"/>
          <w:lang w:val="en-AU"/>
        </w:rPr>
        <w:t>HR/PUB/12/06 (UN, New York and Geneva 2012) &lt;</w:t>
      </w:r>
      <w:hyperlink r:id="rId12" w:history="1">
        <w:r w:rsidRPr="00424098">
          <w:rPr>
            <w:rStyle w:val="Hyperlink"/>
            <w:rFonts w:ascii="Times New Roman" w:hAnsi="Times New Roman"/>
            <w:lang w:val="en-AU"/>
          </w:rPr>
          <w:t>http://www.ohchr.org/documents/publications/bornfreeandequallowres.pdf</w:t>
        </w:r>
      </w:hyperlink>
      <w:r w:rsidRPr="00424098">
        <w:rPr>
          <w:rFonts w:ascii="Times New Roman" w:hAnsi="Times New Roman" w:cs="Times New Roman"/>
          <w:lang w:val="en-AU"/>
        </w:rPr>
        <w:t>&gt;.</w:t>
      </w:r>
    </w:p>
  </w:footnote>
  <w:footnote w:id="68">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Free and Equal, Press Release, ‘UN Human Rights Office Launches Unprecedented Global Campaign for Lesbian, Gay, Bisexual and Transgender Equality’ (Cape Town, 26 July 2013) &lt;</w:t>
      </w:r>
      <w:hyperlink r:id="rId13" w:history="1">
        <w:r w:rsidRPr="00424098">
          <w:rPr>
            <w:rStyle w:val="Hyperlink"/>
            <w:rFonts w:ascii="Times New Roman" w:hAnsi="Times New Roman"/>
          </w:rPr>
          <w:t>http://www.ohchr.org/EN/NewsEvents/Pages/DisplayNews.aspx?NewsID=13583</w:t>
        </w:r>
      </w:hyperlink>
      <w:r w:rsidRPr="00424098">
        <w:rPr>
          <w:rFonts w:ascii="Times New Roman" w:hAnsi="Times New Roman" w:cs="Times New Roman"/>
        </w:rPr>
        <w:t xml:space="preserve">&gt;. </w:t>
      </w:r>
    </w:p>
  </w:footnote>
  <w:footnote w:id="69">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World Bank Panel, ‘</w:t>
      </w:r>
      <w:r w:rsidRPr="00424098">
        <w:rPr>
          <w:rFonts w:ascii="Times New Roman" w:hAnsi="Times New Roman" w:cs="Times New Roman"/>
          <w:color w:val="000000"/>
        </w:rPr>
        <w:t>Addressing Exclusion Based on Sexual Orientation and Gender Identity’, 20 May 2015, &lt;</w:t>
      </w:r>
      <w:hyperlink r:id="rId14" w:history="1">
        <w:r w:rsidRPr="00424098">
          <w:rPr>
            <w:rStyle w:val="Hyperlink"/>
            <w:rFonts w:ascii="Times New Roman" w:hAnsi="Times New Roman"/>
          </w:rPr>
          <w:t>http://www.worldbank.org/en/events/2015/05/18/addressing-exclusion-based-on-sexual-orientation-and-gender-identity</w:t>
        </w:r>
      </w:hyperlink>
      <w:r w:rsidRPr="00424098">
        <w:rPr>
          <w:rFonts w:ascii="Times New Roman" w:hAnsi="Times New Roman" w:cs="Times New Roman"/>
        </w:rPr>
        <w:t>&gt;.</w:t>
      </w:r>
    </w:p>
  </w:footnote>
  <w:footnote w:id="70">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Dianne Otto, ‘Transnational Homo-Assemblages: Reading “Gender” in Counter-terrorism Discourses’ (2013) 4(2) </w:t>
      </w:r>
      <w:r w:rsidRPr="00424098">
        <w:rPr>
          <w:rFonts w:ascii="Times New Roman" w:hAnsi="Times New Roman" w:cs="Times New Roman"/>
          <w:bCs/>
          <w:i/>
        </w:rPr>
        <w:t>Jindal Global Law Review</w:t>
      </w:r>
      <w:r w:rsidRPr="00424098">
        <w:rPr>
          <w:rFonts w:ascii="Times New Roman" w:hAnsi="Times New Roman" w:cs="Times New Roman"/>
          <w:bCs/>
          <w:i/>
          <w:shd w:val="clear" w:color="auto" w:fill="FFFFFF"/>
        </w:rPr>
        <w:t>, Special Double Issue - Part II: Law, Culture and Queer Politics in Neoliberal Times</w:t>
      </w:r>
      <w:r w:rsidRPr="00424098">
        <w:rPr>
          <w:rFonts w:ascii="Times New Roman" w:hAnsi="Times New Roman" w:cs="Times New Roman"/>
          <w:shd w:val="clear" w:color="auto" w:fill="FFFFFF"/>
        </w:rPr>
        <w:t xml:space="preserve"> 79.</w:t>
      </w:r>
    </w:p>
  </w:footnote>
  <w:footnote w:id="71">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Human Rights Council, ‘Joint Statement on Human Rights Violations based on Sexual Orientation and Gender Identity’,  delivered by H E Wegger Chr Strommen (Norway), (3</w:t>
      </w:r>
      <w:r w:rsidRPr="00424098">
        <w:rPr>
          <w:rFonts w:ascii="Times New Roman" w:hAnsi="Times New Roman" w:cs="Times New Roman"/>
          <w:vertAlign w:val="superscript"/>
        </w:rPr>
        <w:t>rd</w:t>
      </w:r>
      <w:r w:rsidRPr="00424098">
        <w:rPr>
          <w:rFonts w:ascii="Times New Roman" w:hAnsi="Times New Roman" w:cs="Times New Roman"/>
        </w:rPr>
        <w:t xml:space="preserve"> Session, 1 December 2006).</w:t>
      </w:r>
    </w:p>
  </w:footnote>
  <w:footnote w:id="72">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Joint Statement read by Argentina in the General Assembly on behalf of 66 states, ‘Human rights, sexual orientation and gender identity’, 18 December 2008, &lt;</w:t>
      </w:r>
      <w:hyperlink r:id="rId15" w:history="1">
        <w:r w:rsidRPr="00424098">
          <w:rPr>
            <w:rStyle w:val="Hyperlink"/>
            <w:rFonts w:ascii="Times New Roman" w:hAnsi="Times New Roman"/>
            <w:bCs/>
          </w:rPr>
          <w:t>http://arc-international.net/global-advocacy/sogi-statements/2008-joint-statement/</w:t>
        </w:r>
      </w:hyperlink>
      <w:r w:rsidRPr="00424098">
        <w:rPr>
          <w:rFonts w:ascii="Times New Roman" w:hAnsi="Times New Roman" w:cs="Times New Roman"/>
        </w:rPr>
        <w:t>&gt;.</w:t>
      </w:r>
    </w:p>
  </w:footnote>
  <w:footnote w:id="73">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Statement read by Syria in the General Assembly on behalf of 57 states, predominantly Organization of Islamic Conference members, ‘Human rights and the so-called notions of “sexual orientation” and “gender identity”’, 18 December 2008, &lt;</w:t>
      </w:r>
      <w:hyperlink r:id="rId16" w:history="1">
        <w:r w:rsidRPr="00424098">
          <w:rPr>
            <w:rStyle w:val="Hyperlink"/>
            <w:rFonts w:ascii="Times New Roman" w:hAnsi="Times New Roman"/>
            <w:lang w:val="en-AU"/>
          </w:rPr>
          <w:t>http://iglhrc.org/content/united-nations-general-assembly-statement-affirming-human-rights-protections-include-sexual</w:t>
        </w:r>
      </w:hyperlink>
      <w:r w:rsidRPr="00424098">
        <w:rPr>
          <w:rFonts w:ascii="Times New Roman" w:hAnsi="Times New Roman" w:cs="Times New Roman"/>
          <w:lang w:val="en-AU"/>
        </w:rPr>
        <w:t xml:space="preserve">&gt;. The Statement argues there is ‘no legal foundation’ for the notions of ‘sexual orientation’ and ‘gender identity’ and asserts the right of states </w:t>
      </w:r>
      <w:r w:rsidRPr="00424098">
        <w:rPr>
          <w:rFonts w:ascii="Times New Roman" w:hAnsi="Times New Roman" w:cs="Times New Roman"/>
          <w:lang w:val="en-GB"/>
        </w:rPr>
        <w:t>to enact laws that meet ‘just requirements of morality, public order, and the general welfare in a democratic society’</w:t>
      </w:r>
    </w:p>
  </w:footnote>
  <w:footnote w:id="74">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Human Rights Council, ‘</w:t>
      </w:r>
      <w:r w:rsidRPr="00424098">
        <w:rPr>
          <w:rFonts w:ascii="Times New Roman" w:hAnsi="Times New Roman" w:cs="Times New Roman"/>
          <w:bCs/>
          <w:lang w:eastAsia="en-AU"/>
        </w:rPr>
        <w:t xml:space="preserve">Human rights, sexual orientation and gender identity’, </w:t>
      </w:r>
      <w:r>
        <w:rPr>
          <w:rFonts w:ascii="Times New Roman" w:hAnsi="Times New Roman" w:cs="Times New Roman"/>
          <w:bCs/>
          <w:lang w:eastAsia="en-AU"/>
        </w:rPr>
        <w:t xml:space="preserve">UN Doc </w:t>
      </w:r>
      <w:r w:rsidRPr="00424098">
        <w:rPr>
          <w:rFonts w:ascii="Times New Roman" w:hAnsi="Times New Roman" w:cs="Times New Roman"/>
          <w:lang w:eastAsia="en-AU"/>
        </w:rPr>
        <w:t>A/HRC/RES/17/19 (15 June 2011), adopted 23/19 with 3 abstentions.</w:t>
      </w:r>
    </w:p>
  </w:footnote>
  <w:footnote w:id="75">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i/>
          <w:iCs/>
          <w:lang w:val="en-AU" w:eastAsia="en-AU"/>
        </w:rPr>
        <w:t>Discriminatory laws and practices and acts of violence against individuals based on their sexual orientation and gender identity</w:t>
      </w:r>
      <w:r w:rsidRPr="00424098">
        <w:rPr>
          <w:rFonts w:ascii="Times New Roman" w:hAnsi="Times New Roman" w:cs="Times New Roman"/>
          <w:lang w:val="en-AU" w:eastAsia="en-AU"/>
        </w:rPr>
        <w:t xml:space="preserve">, </w:t>
      </w:r>
      <w:r>
        <w:rPr>
          <w:rFonts w:ascii="Times New Roman" w:hAnsi="Times New Roman" w:cs="Times New Roman"/>
          <w:lang w:val="en-AU" w:eastAsia="en-AU"/>
        </w:rPr>
        <w:t xml:space="preserve">UN Doc </w:t>
      </w:r>
      <w:r w:rsidRPr="00424098">
        <w:rPr>
          <w:rFonts w:ascii="Times New Roman" w:hAnsi="Times New Roman" w:cs="Times New Roman"/>
          <w:lang w:val="en-AU" w:eastAsia="en-AU"/>
        </w:rPr>
        <w:t>A/HRC/19/41 (17 November 2011).</w:t>
      </w:r>
    </w:p>
  </w:footnote>
  <w:footnote w:id="76">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Human Rights Council, ‘</w:t>
      </w:r>
      <w:r w:rsidRPr="00424098">
        <w:rPr>
          <w:rFonts w:ascii="Times New Roman" w:hAnsi="Times New Roman" w:cs="Times New Roman"/>
          <w:lang w:eastAsia="en-AU"/>
        </w:rPr>
        <w:t xml:space="preserve">Human rights, sexual orientation and gender identity’, </w:t>
      </w:r>
      <w:r>
        <w:rPr>
          <w:rFonts w:ascii="Times New Roman" w:hAnsi="Times New Roman" w:cs="Times New Roman"/>
          <w:lang w:eastAsia="en-AU"/>
        </w:rPr>
        <w:t xml:space="preserve">UN Doc </w:t>
      </w:r>
      <w:r w:rsidRPr="00424098">
        <w:rPr>
          <w:rFonts w:ascii="Times New Roman" w:hAnsi="Times New Roman" w:cs="Times New Roman"/>
          <w:lang w:eastAsia="en-AU"/>
        </w:rPr>
        <w:t>A/</w:t>
      </w:r>
      <w:r w:rsidRPr="00424098">
        <w:rPr>
          <w:rFonts w:ascii="Times New Roman" w:hAnsi="Times New Roman" w:cs="Times New Roman"/>
        </w:rPr>
        <w:t>HRC/27/32</w:t>
      </w:r>
      <w:r w:rsidRPr="00424098">
        <w:rPr>
          <w:rFonts w:ascii="Times New Roman" w:hAnsi="Times New Roman" w:cs="Times New Roman"/>
          <w:lang w:val="en-AU"/>
        </w:rPr>
        <w:t xml:space="preserve"> (26 September 2014).</w:t>
      </w:r>
    </w:p>
  </w:footnote>
  <w:footnote w:id="77">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00BE57DA">
        <w:rPr>
          <w:rFonts w:ascii="Times New Roman" w:hAnsi="Times New Roman" w:cs="Times New Roman"/>
        </w:rPr>
        <w:t xml:space="preserve"> </w:t>
      </w:r>
      <w:r w:rsidR="00E52513">
        <w:rPr>
          <w:rFonts w:ascii="Times New Roman" w:hAnsi="Times New Roman" w:cs="Times New Roman"/>
        </w:rPr>
        <w:t>P</w:t>
      </w:r>
      <w:r w:rsidR="00E52513">
        <w:rPr>
          <w:rFonts w:ascii="Times New Roman" w:hAnsi="Times New Roman" w:cs="Times New Roman"/>
        </w:rPr>
        <w:t>roposed amendments</w:t>
      </w:r>
      <w:r w:rsidR="00E52513">
        <w:rPr>
          <w:rFonts w:ascii="Times New Roman" w:hAnsi="Times New Roman" w:cs="Times New Roman"/>
        </w:rPr>
        <w:t xml:space="preserve"> to draft resolution UN Do</w:t>
      </w:r>
      <w:bookmarkStart w:id="17" w:name="_GoBack"/>
      <w:bookmarkEnd w:id="17"/>
      <w:r w:rsidR="00E52513">
        <w:rPr>
          <w:rFonts w:ascii="Times New Roman" w:hAnsi="Times New Roman" w:cs="Times New Roman"/>
        </w:rPr>
        <w:t xml:space="preserve">c A/HRC/27/L.27/Rev.1: </w:t>
      </w:r>
      <w:r w:rsidR="00BE57DA">
        <w:rPr>
          <w:rFonts w:ascii="Times New Roman" w:hAnsi="Times New Roman" w:cs="Times New Roman"/>
        </w:rPr>
        <w:t>UN Doc A/HRC/</w:t>
      </w:r>
      <w:r w:rsidR="00E52513">
        <w:rPr>
          <w:rFonts w:ascii="Times New Roman" w:hAnsi="Times New Roman" w:cs="Times New Roman"/>
        </w:rPr>
        <w:t>27/</w:t>
      </w:r>
      <w:r w:rsidR="00BE57DA">
        <w:rPr>
          <w:rFonts w:ascii="Times New Roman" w:hAnsi="Times New Roman" w:cs="Times New Roman"/>
        </w:rPr>
        <w:t xml:space="preserve">L.45 (25 September 2014), </w:t>
      </w:r>
      <w:r w:rsidR="00BE57DA">
        <w:rPr>
          <w:rFonts w:ascii="Times New Roman" w:hAnsi="Times New Roman" w:cs="Times New Roman"/>
        </w:rPr>
        <w:t>UN Doc A/HRC</w:t>
      </w:r>
      <w:r w:rsidR="00E52513">
        <w:rPr>
          <w:rFonts w:ascii="Times New Roman" w:hAnsi="Times New Roman" w:cs="Times New Roman"/>
        </w:rPr>
        <w:t>/27</w:t>
      </w:r>
      <w:r w:rsidR="00BE57DA">
        <w:rPr>
          <w:rFonts w:ascii="Times New Roman" w:hAnsi="Times New Roman" w:cs="Times New Roman"/>
        </w:rPr>
        <w:t>/L.4</w:t>
      </w:r>
      <w:r w:rsidR="00BE57DA">
        <w:rPr>
          <w:rFonts w:ascii="Times New Roman" w:hAnsi="Times New Roman" w:cs="Times New Roman"/>
        </w:rPr>
        <w:t>6</w:t>
      </w:r>
      <w:r w:rsidR="00BE57DA">
        <w:rPr>
          <w:rFonts w:ascii="Times New Roman" w:hAnsi="Times New Roman" w:cs="Times New Roman"/>
        </w:rPr>
        <w:t xml:space="preserve"> (25 September 2014),</w:t>
      </w:r>
      <w:r w:rsidR="00BE57DA">
        <w:rPr>
          <w:rFonts w:ascii="Times New Roman" w:hAnsi="Times New Roman" w:cs="Times New Roman"/>
        </w:rPr>
        <w:t xml:space="preserve"> </w:t>
      </w:r>
      <w:r w:rsidR="00BE57DA">
        <w:rPr>
          <w:rFonts w:ascii="Times New Roman" w:hAnsi="Times New Roman" w:cs="Times New Roman"/>
        </w:rPr>
        <w:t>UN Doc A/HRC</w:t>
      </w:r>
      <w:r w:rsidR="00E52513">
        <w:rPr>
          <w:rFonts w:ascii="Times New Roman" w:hAnsi="Times New Roman" w:cs="Times New Roman"/>
        </w:rPr>
        <w:t>/27</w:t>
      </w:r>
      <w:r w:rsidR="00BE57DA">
        <w:rPr>
          <w:rFonts w:ascii="Times New Roman" w:hAnsi="Times New Roman" w:cs="Times New Roman"/>
        </w:rPr>
        <w:t>/L.</w:t>
      </w:r>
      <w:r w:rsidR="00E52513">
        <w:rPr>
          <w:rFonts w:ascii="Times New Roman" w:hAnsi="Times New Roman" w:cs="Times New Roman"/>
        </w:rPr>
        <w:t>4</w:t>
      </w:r>
      <w:r w:rsidR="00BE57DA">
        <w:rPr>
          <w:rFonts w:ascii="Times New Roman" w:hAnsi="Times New Roman" w:cs="Times New Roman"/>
        </w:rPr>
        <w:t>7</w:t>
      </w:r>
      <w:r w:rsidR="00BE57DA">
        <w:rPr>
          <w:rFonts w:ascii="Times New Roman" w:hAnsi="Times New Roman" w:cs="Times New Roman"/>
        </w:rPr>
        <w:t xml:space="preserve"> (25 September 2014),</w:t>
      </w:r>
      <w:r w:rsidR="00E52513">
        <w:rPr>
          <w:rFonts w:ascii="Times New Roman" w:hAnsi="Times New Roman" w:cs="Times New Roman"/>
        </w:rPr>
        <w:t xml:space="preserve"> </w:t>
      </w:r>
      <w:r w:rsidR="00E52513">
        <w:rPr>
          <w:rFonts w:ascii="Times New Roman" w:hAnsi="Times New Roman" w:cs="Times New Roman"/>
        </w:rPr>
        <w:t>UN Doc A/HRC</w:t>
      </w:r>
      <w:r w:rsidR="00E52513">
        <w:rPr>
          <w:rFonts w:ascii="Times New Roman" w:hAnsi="Times New Roman" w:cs="Times New Roman"/>
        </w:rPr>
        <w:t>/27</w:t>
      </w:r>
      <w:r w:rsidR="00E52513">
        <w:rPr>
          <w:rFonts w:ascii="Times New Roman" w:hAnsi="Times New Roman" w:cs="Times New Roman"/>
        </w:rPr>
        <w:t>/L.4</w:t>
      </w:r>
      <w:r w:rsidR="00E52513">
        <w:rPr>
          <w:rFonts w:ascii="Times New Roman" w:hAnsi="Times New Roman" w:cs="Times New Roman"/>
        </w:rPr>
        <w:t>8</w:t>
      </w:r>
      <w:r w:rsidR="00E52513">
        <w:rPr>
          <w:rFonts w:ascii="Times New Roman" w:hAnsi="Times New Roman" w:cs="Times New Roman"/>
        </w:rPr>
        <w:t xml:space="preserve"> (25 September 2014),</w:t>
      </w:r>
      <w:r w:rsidR="00E52513">
        <w:rPr>
          <w:rFonts w:ascii="Times New Roman" w:hAnsi="Times New Roman" w:cs="Times New Roman"/>
        </w:rPr>
        <w:t xml:space="preserve"> </w:t>
      </w:r>
      <w:r w:rsidR="00E52513">
        <w:rPr>
          <w:rFonts w:ascii="Times New Roman" w:hAnsi="Times New Roman" w:cs="Times New Roman"/>
        </w:rPr>
        <w:t>UN Doc A/HRC/</w:t>
      </w:r>
      <w:r w:rsidR="00E52513">
        <w:rPr>
          <w:rFonts w:ascii="Times New Roman" w:hAnsi="Times New Roman" w:cs="Times New Roman"/>
        </w:rPr>
        <w:t>27/</w:t>
      </w:r>
      <w:r w:rsidR="00E52513">
        <w:rPr>
          <w:rFonts w:ascii="Times New Roman" w:hAnsi="Times New Roman" w:cs="Times New Roman"/>
        </w:rPr>
        <w:t>L.</w:t>
      </w:r>
      <w:r w:rsidR="00E52513">
        <w:rPr>
          <w:rFonts w:ascii="Times New Roman" w:hAnsi="Times New Roman" w:cs="Times New Roman"/>
        </w:rPr>
        <w:t>49</w:t>
      </w:r>
      <w:r w:rsidR="00E52513">
        <w:rPr>
          <w:rFonts w:ascii="Times New Roman" w:hAnsi="Times New Roman" w:cs="Times New Roman"/>
        </w:rPr>
        <w:t xml:space="preserve"> (25 September 2014),</w:t>
      </w:r>
      <w:r w:rsidR="00E52513">
        <w:rPr>
          <w:rFonts w:ascii="Times New Roman" w:hAnsi="Times New Roman" w:cs="Times New Roman"/>
        </w:rPr>
        <w:t xml:space="preserve"> </w:t>
      </w:r>
      <w:r w:rsidR="00E52513">
        <w:rPr>
          <w:rFonts w:ascii="Times New Roman" w:hAnsi="Times New Roman" w:cs="Times New Roman"/>
        </w:rPr>
        <w:t>UN Doc A/HRC</w:t>
      </w:r>
      <w:r w:rsidR="00E52513">
        <w:rPr>
          <w:rFonts w:ascii="Times New Roman" w:hAnsi="Times New Roman" w:cs="Times New Roman"/>
        </w:rPr>
        <w:t>/27</w:t>
      </w:r>
      <w:r w:rsidR="00E52513">
        <w:rPr>
          <w:rFonts w:ascii="Times New Roman" w:hAnsi="Times New Roman" w:cs="Times New Roman"/>
        </w:rPr>
        <w:t>/L.</w:t>
      </w:r>
      <w:r w:rsidR="00E52513">
        <w:rPr>
          <w:rFonts w:ascii="Times New Roman" w:hAnsi="Times New Roman" w:cs="Times New Roman"/>
        </w:rPr>
        <w:t>50</w:t>
      </w:r>
      <w:r w:rsidR="00E52513">
        <w:rPr>
          <w:rFonts w:ascii="Times New Roman" w:hAnsi="Times New Roman" w:cs="Times New Roman"/>
        </w:rPr>
        <w:t xml:space="preserve"> (25 September 2014),</w:t>
      </w:r>
      <w:r w:rsidR="00E52513">
        <w:rPr>
          <w:rFonts w:ascii="Times New Roman" w:hAnsi="Times New Roman" w:cs="Times New Roman"/>
        </w:rPr>
        <w:t xml:space="preserve"> </w:t>
      </w:r>
      <w:r w:rsidR="00E52513">
        <w:rPr>
          <w:rFonts w:ascii="Times New Roman" w:hAnsi="Times New Roman" w:cs="Times New Roman"/>
        </w:rPr>
        <w:t>UN Doc A/HRC/</w:t>
      </w:r>
      <w:r w:rsidR="00E52513">
        <w:rPr>
          <w:rFonts w:ascii="Times New Roman" w:hAnsi="Times New Roman" w:cs="Times New Roman"/>
        </w:rPr>
        <w:t>27/</w:t>
      </w:r>
      <w:r w:rsidR="00E52513">
        <w:rPr>
          <w:rFonts w:ascii="Times New Roman" w:hAnsi="Times New Roman" w:cs="Times New Roman"/>
        </w:rPr>
        <w:t>L.</w:t>
      </w:r>
      <w:r w:rsidR="00E52513">
        <w:rPr>
          <w:rFonts w:ascii="Times New Roman" w:hAnsi="Times New Roman" w:cs="Times New Roman"/>
        </w:rPr>
        <w:t>51 (25 September 2014).</w:t>
      </w:r>
    </w:p>
  </w:footnote>
  <w:footnote w:id="78">
    <w:p w:rsidR="00EC2FCD" w:rsidRPr="00424098" w:rsidRDefault="00EC2FCD" w:rsidP="00ED509A">
      <w:pPr>
        <w:pStyle w:val="HChG"/>
        <w:spacing w:before="0" w:after="0" w:line="240" w:lineRule="auto"/>
        <w:ind w:left="0" w:right="0" w:firstLine="0"/>
        <w:rPr>
          <w:rFonts w:cs="Times New Roman"/>
          <w:b w:val="0"/>
          <w:sz w:val="20"/>
        </w:rPr>
      </w:pPr>
      <w:r w:rsidRPr="00424098">
        <w:rPr>
          <w:rStyle w:val="FootnoteReference"/>
          <w:b w:val="0"/>
          <w:sz w:val="20"/>
        </w:rPr>
        <w:footnoteRef/>
      </w:r>
      <w:r w:rsidRPr="00424098">
        <w:rPr>
          <w:rFonts w:cs="Times New Roman"/>
          <w:b w:val="0"/>
          <w:sz w:val="20"/>
        </w:rPr>
        <w:t xml:space="preserve"> Report of the Office of the United Nations High Commissioner for Human Rights, ‘Discrimination and violence against individuals based on their sexual orientation and gender identity’, UN Doc </w:t>
      </w:r>
      <w:r w:rsidRPr="00424098">
        <w:rPr>
          <w:rFonts w:cs="Times New Roman"/>
          <w:b w:val="0"/>
          <w:sz w:val="20"/>
          <w:lang w:val="en-AU"/>
        </w:rPr>
        <w:t xml:space="preserve">A/HRC/29/23, para 6 </w:t>
      </w:r>
      <w:r w:rsidRPr="00424098">
        <w:rPr>
          <w:rFonts w:cs="Times New Roman"/>
          <w:b w:val="0"/>
          <w:iCs/>
          <w:sz w:val="20"/>
          <w:lang w:val="en-AU"/>
        </w:rPr>
        <w:t>(4 May 2015).</w:t>
      </w:r>
    </w:p>
  </w:footnote>
  <w:footnote w:id="79">
    <w:p w:rsidR="00EC2FCD" w:rsidRPr="00424098" w:rsidRDefault="00EC2FCD" w:rsidP="008D62C3">
      <w:pPr>
        <w:pStyle w:val="footnotetext2"/>
        <w:rPr>
          <w:rFonts w:cs="Times New Roman"/>
        </w:rPr>
      </w:pPr>
      <w:r w:rsidRPr="00424098">
        <w:rPr>
          <w:rStyle w:val="FootnoteReference"/>
        </w:rPr>
        <w:footnoteRef/>
      </w:r>
      <w:r w:rsidRPr="00424098">
        <w:rPr>
          <w:rFonts w:cs="Times New Roman"/>
        </w:rPr>
        <w:t xml:space="preserve"> ‘Yogyakarta Principles</w:t>
      </w:r>
      <w:r>
        <w:rPr>
          <w:rFonts w:cs="Times New Roman"/>
        </w:rPr>
        <w:t xml:space="preserve">, n </w:t>
      </w:r>
      <w:r>
        <w:rPr>
          <w:rFonts w:cs="Times New Roman"/>
        </w:rPr>
        <w:fldChar w:fldCharType="begin"/>
      </w:r>
      <w:r>
        <w:rPr>
          <w:rFonts w:cs="Times New Roman"/>
        </w:rPr>
        <w:instrText xml:space="preserve"> NOTEREF _Ref431736814 \h </w:instrText>
      </w:r>
      <w:r>
        <w:rPr>
          <w:rFonts w:cs="Times New Roman"/>
        </w:rPr>
      </w:r>
      <w:r>
        <w:rPr>
          <w:rFonts w:cs="Times New Roman"/>
        </w:rPr>
        <w:fldChar w:fldCharType="separate"/>
      </w:r>
      <w:r w:rsidR="006E1812">
        <w:rPr>
          <w:rFonts w:cs="Times New Roman"/>
        </w:rPr>
        <w:t>10</w:t>
      </w:r>
      <w:r>
        <w:rPr>
          <w:rFonts w:cs="Times New Roman"/>
        </w:rPr>
        <w:fldChar w:fldCharType="end"/>
      </w:r>
      <w:r>
        <w:rPr>
          <w:rFonts w:cs="Times New Roman"/>
        </w:rPr>
        <w:t>.</w:t>
      </w:r>
    </w:p>
  </w:footnote>
  <w:footnote w:id="80">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Michael O'Flaherty and John Fisher, ‘Sexual Orientation, Gender Identity and International Human Rights Law: Contextualising the Yogyakarta Principles’ (2008) 8(2) </w:t>
      </w:r>
      <w:r w:rsidRPr="00424098">
        <w:rPr>
          <w:rFonts w:ascii="Times New Roman" w:hAnsi="Times New Roman" w:cs="Times New Roman"/>
          <w:bCs/>
          <w:i/>
        </w:rPr>
        <w:t>Human Rights Law Review</w:t>
      </w:r>
      <w:r w:rsidRPr="00424098">
        <w:rPr>
          <w:rFonts w:ascii="Times New Roman" w:hAnsi="Times New Roman" w:cs="Times New Roman"/>
        </w:rPr>
        <w:t xml:space="preserve"> 207.</w:t>
      </w:r>
    </w:p>
  </w:footnote>
  <w:footnote w:id="81">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Yogyakarta Principles, n</w:t>
      </w:r>
      <w:r w:rsidRPr="00424098">
        <w:rPr>
          <w:rFonts w:ascii="Times New Roman" w:hAnsi="Times New Roman" w:cs="Times New Roman"/>
        </w:rPr>
        <w:t xml:space="preserve"> </w:t>
      </w:r>
      <w:r w:rsidR="00EF08B6">
        <w:fldChar w:fldCharType="begin"/>
      </w:r>
      <w:r w:rsidR="00EF08B6">
        <w:instrText xml:space="preserve"> NOTEREF _Ref431736814 \h  \* MERGEFORMAT </w:instrText>
      </w:r>
      <w:r w:rsidR="00EF08B6">
        <w:fldChar w:fldCharType="separate"/>
      </w:r>
      <w:r w:rsidR="006E1812" w:rsidRPr="006E1812">
        <w:rPr>
          <w:rFonts w:ascii="Times New Roman" w:hAnsi="Times New Roman" w:cs="Times New Roman"/>
        </w:rPr>
        <w:t>10</w:t>
      </w:r>
      <w:r w:rsidR="00EF08B6">
        <w:fldChar w:fldCharType="end"/>
      </w:r>
      <w:r w:rsidRPr="00424098">
        <w:rPr>
          <w:rFonts w:ascii="Times New Roman" w:hAnsi="Times New Roman" w:cs="Times New Roman"/>
          <w:lang w:val="en-AU"/>
        </w:rPr>
        <w:t>, introduction [7].</w:t>
      </w:r>
    </w:p>
  </w:footnote>
  <w:footnote w:id="82">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Pr>
          <w:rFonts w:ascii="Times New Roman" w:hAnsi="Times New Roman" w:cs="Times New Roman"/>
        </w:rPr>
        <w:t xml:space="preserve"> i</w:t>
      </w:r>
      <w:r w:rsidRPr="00424098">
        <w:rPr>
          <w:rFonts w:ascii="Times New Roman" w:hAnsi="Times New Roman" w:cs="Times New Roman"/>
        </w:rPr>
        <w:t>bid</w:t>
      </w:r>
      <w:r>
        <w:rPr>
          <w:rFonts w:ascii="Times New Roman" w:hAnsi="Times New Roman" w:cs="Times New Roman"/>
        </w:rPr>
        <w:t>,</w:t>
      </w:r>
      <w:r w:rsidRPr="00424098">
        <w:rPr>
          <w:rFonts w:ascii="Times New Roman" w:hAnsi="Times New Roman" w:cs="Times New Roman"/>
          <w:lang w:val="en-AU"/>
        </w:rPr>
        <w:t xml:space="preserve"> preamble [9].</w:t>
      </w:r>
    </w:p>
  </w:footnote>
  <w:footnote w:id="83">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i</w:t>
      </w:r>
      <w:r w:rsidRPr="00424098">
        <w:rPr>
          <w:rFonts w:ascii="Times New Roman" w:hAnsi="Times New Roman" w:cs="Times New Roman"/>
          <w:lang w:val="en-AU"/>
        </w:rPr>
        <w:t>bid, preamble [ 5].</w:t>
      </w:r>
    </w:p>
  </w:footnote>
  <w:footnote w:id="84">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 xml:space="preserve">Aeyal Gross raises similar concerns about the notion of ‘sexual orientation’. See Aeyal Gross, ‘Queer Theory and International Human Rights Law: Does Each Person have a Sexual Orientation?’ [2007] </w:t>
      </w:r>
      <w:r w:rsidRPr="00424098">
        <w:rPr>
          <w:rFonts w:ascii="Times New Roman" w:hAnsi="Times New Roman" w:cs="Times New Roman"/>
          <w:bCs/>
          <w:i/>
          <w:lang w:val="en-AU"/>
        </w:rPr>
        <w:t xml:space="preserve">Proceedings of the American Society of International Law </w:t>
      </w:r>
      <w:r w:rsidRPr="00424098">
        <w:rPr>
          <w:rFonts w:ascii="Times New Roman" w:hAnsi="Times New Roman" w:cs="Times New Roman"/>
          <w:bCs/>
          <w:lang w:val="en-AU"/>
        </w:rPr>
        <w:t xml:space="preserve">129. </w:t>
      </w:r>
    </w:p>
  </w:footnote>
  <w:footnote w:id="85">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Matthew Waites, ‘Critique of “sexual orientation” and “gender identity” in human rights discourse: global queer politics beyond the Yogyakarta Principles’ (2009) 15/1 </w:t>
      </w:r>
      <w:r w:rsidRPr="00424098">
        <w:rPr>
          <w:rFonts w:ascii="Times New Roman" w:hAnsi="Times New Roman" w:cs="Times New Roman"/>
          <w:i/>
        </w:rPr>
        <w:t>Contemporary Politics</w:t>
      </w:r>
      <w:r w:rsidRPr="00424098">
        <w:rPr>
          <w:rFonts w:ascii="Times New Roman" w:hAnsi="Times New Roman" w:cs="Times New Roman"/>
        </w:rPr>
        <w:t xml:space="preserve"> 137, 147.</w:t>
      </w:r>
    </w:p>
  </w:footnote>
  <w:footnote w:id="86">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Commission on Human Rights, n </w:t>
      </w:r>
      <w:r w:rsidR="00EF08B6">
        <w:fldChar w:fldCharType="begin"/>
      </w:r>
      <w:r w:rsidR="00EF08B6">
        <w:instrText xml:space="preserve"> NOTEREF _Ref430707093 \h  \* MERGEFO</w:instrText>
      </w:r>
      <w:r w:rsidR="00EF08B6">
        <w:instrText xml:space="preserve">RMAT </w:instrText>
      </w:r>
      <w:r w:rsidR="00EF08B6">
        <w:fldChar w:fldCharType="separate"/>
      </w:r>
      <w:r w:rsidR="006E1812">
        <w:t>6</w:t>
      </w:r>
      <w:r w:rsidR="00EF08B6">
        <w:fldChar w:fldCharType="end"/>
      </w:r>
      <w:r w:rsidRPr="00424098">
        <w:rPr>
          <w:rFonts w:ascii="Times New Roman" w:hAnsi="Times New Roman" w:cs="Times New Roman"/>
        </w:rPr>
        <w:t>.</w:t>
      </w:r>
    </w:p>
  </w:footnote>
  <w:footnote w:id="87">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Pr>
          <w:rFonts w:ascii="Times New Roman" w:hAnsi="Times New Roman" w:cs="Times New Roman"/>
        </w:rPr>
        <w:t xml:space="preserve">Yogyakarta Principles, n </w:t>
      </w:r>
      <w:r>
        <w:rPr>
          <w:rFonts w:ascii="Times New Roman" w:hAnsi="Times New Roman" w:cs="Times New Roman"/>
        </w:rPr>
        <w:fldChar w:fldCharType="begin"/>
      </w:r>
      <w:r>
        <w:rPr>
          <w:rFonts w:ascii="Times New Roman" w:hAnsi="Times New Roman" w:cs="Times New Roman"/>
        </w:rPr>
        <w:instrText xml:space="preserve"> NOTEREF _Ref431736814 \h </w:instrText>
      </w:r>
      <w:r>
        <w:rPr>
          <w:rFonts w:ascii="Times New Roman" w:hAnsi="Times New Roman" w:cs="Times New Roman"/>
        </w:rPr>
      </w:r>
      <w:r>
        <w:rPr>
          <w:rFonts w:ascii="Times New Roman" w:hAnsi="Times New Roman" w:cs="Times New Roman"/>
        </w:rPr>
        <w:fldChar w:fldCharType="separate"/>
      </w:r>
      <w:r w:rsidR="006E1812">
        <w:rPr>
          <w:rFonts w:ascii="Times New Roman" w:hAnsi="Times New Roman" w:cs="Times New Roman"/>
        </w:rPr>
        <w:t>10</w:t>
      </w:r>
      <w:r>
        <w:rPr>
          <w:rFonts w:ascii="Times New Roman" w:hAnsi="Times New Roman" w:cs="Times New Roman"/>
        </w:rPr>
        <w:fldChar w:fldCharType="end"/>
      </w:r>
      <w:r>
        <w:rPr>
          <w:rFonts w:ascii="Times New Roman" w:hAnsi="Times New Roman" w:cs="Times New Roman"/>
        </w:rPr>
        <w:t>, P</w:t>
      </w:r>
      <w:r w:rsidRPr="00424098">
        <w:rPr>
          <w:rFonts w:ascii="Times New Roman" w:hAnsi="Times New Roman" w:cs="Times New Roman"/>
        </w:rPr>
        <w:t xml:space="preserve"> 2</w:t>
      </w:r>
      <w:r>
        <w:rPr>
          <w:rFonts w:ascii="Times New Roman" w:hAnsi="Times New Roman" w:cs="Times New Roman"/>
        </w:rPr>
        <w:t>.</w:t>
      </w:r>
    </w:p>
  </w:footnote>
  <w:footnote w:id="88">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w:t>
      </w:r>
      <w:r w:rsidRPr="00EC2FCD">
        <w:rPr>
          <w:rFonts w:ascii="Times New Roman" w:hAnsi="Times New Roman" w:cs="Times New Roman"/>
          <w:i/>
          <w:lang w:val="en-AU"/>
        </w:rPr>
        <w:t>Sheridan v Sanctuary Investments Ltd</w:t>
      </w:r>
      <w:r w:rsidRPr="00424098">
        <w:rPr>
          <w:rFonts w:ascii="Times New Roman" w:hAnsi="Times New Roman" w:cs="Times New Roman"/>
          <w:lang w:val="en-AU"/>
        </w:rPr>
        <w:t>. (No.</w:t>
      </w:r>
      <w:r>
        <w:rPr>
          <w:rFonts w:ascii="Times New Roman" w:hAnsi="Times New Roman" w:cs="Times New Roman"/>
          <w:lang w:val="en-AU"/>
        </w:rPr>
        <w:t xml:space="preserve"> 3) (1999) 33 CHRR D/467</w:t>
      </w:r>
      <w:r w:rsidRPr="00424098">
        <w:rPr>
          <w:rFonts w:ascii="Times New Roman" w:hAnsi="Times New Roman" w:cs="Times New Roman"/>
          <w:lang w:val="en-AU"/>
        </w:rPr>
        <w:t>.</w:t>
      </w:r>
    </w:p>
  </w:footnote>
  <w:footnote w:id="89">
    <w:p w:rsidR="00EC2FCD" w:rsidRPr="00424098" w:rsidRDefault="00EC2FCD" w:rsidP="00DA210B">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Pr>
          <w:rFonts w:ascii="Times New Roman" w:hAnsi="Times New Roman" w:cs="Times New Roman"/>
        </w:rPr>
        <w:t>i</w:t>
      </w:r>
      <w:r w:rsidRPr="00424098">
        <w:rPr>
          <w:rFonts w:ascii="Times New Roman" w:hAnsi="Times New Roman" w:cs="Times New Roman"/>
        </w:rPr>
        <w:t xml:space="preserve">bid [93]. quoted in Sharon Cowan, ‘”Gender is no Substitute for Sex”: A Comparative Human Rights Analysis of the Legal Regulation of Sexual Identity’ (2005) 13 </w:t>
      </w:r>
      <w:r w:rsidRPr="00424098">
        <w:rPr>
          <w:rFonts w:ascii="Times New Roman" w:hAnsi="Times New Roman" w:cs="Times New Roman"/>
          <w:i/>
        </w:rPr>
        <w:t>Feminist Legal Studies</w:t>
      </w:r>
      <w:r w:rsidRPr="00424098">
        <w:rPr>
          <w:rFonts w:ascii="Times New Roman" w:hAnsi="Times New Roman" w:cs="Times New Roman"/>
        </w:rPr>
        <w:t xml:space="preserve"> 67, 82-83.</w:t>
      </w:r>
    </w:p>
  </w:footnote>
  <w:footnote w:id="90">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 xml:space="preserve">Wayne Morgan, ‘Queering International Human Rights Law’ in Carl Stychin and Didi Herman (eds), </w:t>
      </w:r>
      <w:r w:rsidRPr="00424098">
        <w:rPr>
          <w:rFonts w:ascii="Times New Roman" w:hAnsi="Times New Roman" w:cs="Times New Roman"/>
          <w:i/>
          <w:lang w:val="en-AU"/>
        </w:rPr>
        <w:t>Sexuality in the Legal Arena</w:t>
      </w:r>
      <w:r w:rsidRPr="00424098">
        <w:rPr>
          <w:rFonts w:ascii="Times New Roman" w:hAnsi="Times New Roman" w:cs="Times New Roman"/>
          <w:lang w:val="en-AU"/>
        </w:rPr>
        <w:t xml:space="preserve"> (Athlone Press, 2000) 208.</w:t>
      </w:r>
    </w:p>
  </w:footnote>
  <w:footnote w:id="91">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Yogyakarta Principles, n </w:t>
      </w:r>
      <w:r w:rsidR="00EF08B6">
        <w:fldChar w:fldCharType="begin"/>
      </w:r>
      <w:r w:rsidR="00EF08B6">
        <w:instrText xml:space="preserve"> NOTEREF _Ref423697689 \h  \* MERGEFORMAT </w:instrText>
      </w:r>
      <w:r w:rsidR="00EF08B6">
        <w:fldChar w:fldCharType="separate"/>
      </w:r>
      <w:r w:rsidR="006E1812">
        <w:rPr>
          <w:b/>
          <w:bCs/>
        </w:rPr>
        <w:t>Error! Bookmark not defined.</w:t>
      </w:r>
      <w:r w:rsidR="00EF08B6">
        <w:fldChar w:fldCharType="end"/>
      </w:r>
      <w:r>
        <w:rPr>
          <w:rFonts w:ascii="Times New Roman" w:hAnsi="Times New Roman" w:cs="Times New Roman"/>
          <w:lang w:val="en-AU"/>
        </w:rPr>
        <w:t>, P</w:t>
      </w:r>
      <w:r w:rsidRPr="00424098">
        <w:rPr>
          <w:rFonts w:ascii="Times New Roman" w:hAnsi="Times New Roman" w:cs="Times New Roman"/>
          <w:lang w:val="en-AU"/>
        </w:rPr>
        <w:t xml:space="preserve"> 24.</w:t>
      </w:r>
    </w:p>
  </w:footnote>
  <w:footnote w:id="92">
    <w:p w:rsidR="00EC2FCD" w:rsidRPr="00424098" w:rsidRDefault="00EC2FCD" w:rsidP="00CC7064">
      <w:pPr>
        <w:pStyle w:val="FootnoteText"/>
        <w:rPr>
          <w:rFonts w:ascii="Times New Roman" w:hAnsi="Times New Roman" w:cs="Times New Roman"/>
          <w:lang w:val="en-AU"/>
        </w:rPr>
      </w:pPr>
      <w:r w:rsidRPr="00424098">
        <w:rPr>
          <w:rStyle w:val="FootnoteReference"/>
          <w:rFonts w:ascii="Times New Roman" w:hAnsi="Times New Roman"/>
        </w:rPr>
        <w:footnoteRef/>
      </w:r>
      <w:r>
        <w:rPr>
          <w:rFonts w:ascii="Times New Roman" w:hAnsi="Times New Roman" w:cs="Times New Roman"/>
          <w:lang w:val="en-AU"/>
        </w:rPr>
        <w:t xml:space="preserve"> ibid</w:t>
      </w:r>
      <w:r w:rsidR="00F13FCB">
        <w:rPr>
          <w:rFonts w:ascii="Times New Roman" w:hAnsi="Times New Roman" w:cs="Times New Roman"/>
          <w:lang w:val="en-AU"/>
        </w:rPr>
        <w:t>, A-G</w:t>
      </w:r>
      <w:r w:rsidRPr="00424098">
        <w:rPr>
          <w:rFonts w:ascii="Times New Roman" w:hAnsi="Times New Roman" w:cs="Times New Roman"/>
          <w:lang w:val="en-AU"/>
        </w:rPr>
        <w:t>.</w:t>
      </w:r>
    </w:p>
  </w:footnote>
  <w:footnote w:id="93">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Butler, n </w:t>
      </w:r>
      <w:r w:rsidR="00F13FCB">
        <w:rPr>
          <w:rFonts w:ascii="Times New Roman" w:hAnsi="Times New Roman" w:cs="Times New Roman"/>
        </w:rPr>
        <w:fldChar w:fldCharType="begin"/>
      </w:r>
      <w:r w:rsidR="00F13FCB">
        <w:rPr>
          <w:rFonts w:ascii="Times New Roman" w:hAnsi="Times New Roman" w:cs="Times New Roman"/>
        </w:rPr>
        <w:instrText xml:space="preserve"> NOTEREF _Ref431740181 \h </w:instrText>
      </w:r>
      <w:r w:rsidR="00F13FCB">
        <w:rPr>
          <w:rFonts w:ascii="Times New Roman" w:hAnsi="Times New Roman" w:cs="Times New Roman"/>
        </w:rPr>
      </w:r>
      <w:r w:rsidR="00F13FCB">
        <w:rPr>
          <w:rFonts w:ascii="Times New Roman" w:hAnsi="Times New Roman" w:cs="Times New Roman"/>
        </w:rPr>
        <w:fldChar w:fldCharType="separate"/>
      </w:r>
      <w:r w:rsidR="006E1812">
        <w:rPr>
          <w:rFonts w:ascii="Times New Roman" w:hAnsi="Times New Roman" w:cs="Times New Roman"/>
        </w:rPr>
        <w:t>12</w:t>
      </w:r>
      <w:r w:rsidR="00F13FCB">
        <w:rPr>
          <w:rFonts w:ascii="Times New Roman" w:hAnsi="Times New Roman" w:cs="Times New Roman"/>
        </w:rPr>
        <w:fldChar w:fldCharType="end"/>
      </w:r>
      <w:r w:rsidRPr="00424098">
        <w:rPr>
          <w:rFonts w:ascii="Times New Roman" w:hAnsi="Times New Roman" w:cs="Times New Roman"/>
        </w:rPr>
        <w:t>, 5.</w:t>
      </w:r>
    </w:p>
  </w:footnote>
  <w:footnote w:id="94">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 xml:space="preserve">Waites, n </w:t>
      </w:r>
      <w:r w:rsidR="00F13FCB">
        <w:rPr>
          <w:rFonts w:ascii="Times New Roman" w:hAnsi="Times New Roman" w:cs="Times New Roman"/>
        </w:rPr>
        <w:fldChar w:fldCharType="begin"/>
      </w:r>
      <w:r w:rsidR="00F13FCB">
        <w:rPr>
          <w:rFonts w:ascii="Times New Roman" w:hAnsi="Times New Roman" w:cs="Times New Roman"/>
          <w:lang w:val="en-AU"/>
        </w:rPr>
        <w:instrText xml:space="preserve"> NOTEREF _Ref431740203 \h </w:instrText>
      </w:r>
      <w:r w:rsidR="00F13FCB">
        <w:rPr>
          <w:rFonts w:ascii="Times New Roman" w:hAnsi="Times New Roman" w:cs="Times New Roman"/>
        </w:rPr>
      </w:r>
      <w:r w:rsidR="00F13FCB">
        <w:rPr>
          <w:rFonts w:ascii="Times New Roman" w:hAnsi="Times New Roman" w:cs="Times New Roman"/>
        </w:rPr>
        <w:fldChar w:fldCharType="separate"/>
      </w:r>
      <w:r w:rsidR="006E1812">
        <w:rPr>
          <w:rFonts w:ascii="Times New Roman" w:hAnsi="Times New Roman" w:cs="Times New Roman"/>
          <w:lang w:val="en-AU"/>
        </w:rPr>
        <w:t>84</w:t>
      </w:r>
      <w:r w:rsidR="00F13FCB">
        <w:rPr>
          <w:rFonts w:ascii="Times New Roman" w:hAnsi="Times New Roman" w:cs="Times New Roman"/>
        </w:rPr>
        <w:fldChar w:fldCharType="end"/>
      </w:r>
      <w:r w:rsidRPr="00424098">
        <w:rPr>
          <w:rFonts w:ascii="Times New Roman" w:hAnsi="Times New Roman" w:cs="Times New Roman"/>
          <w:lang w:val="en-AU"/>
        </w:rPr>
        <w:t>, 139.</w:t>
      </w:r>
    </w:p>
  </w:footnote>
  <w:footnote w:id="95">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Tom Dreyfus, ‘The “Half-Invention” of Gender Identity in International Human RRights Law: From CEDAW to the Yogyakarta Principles’ (2012) 37 </w:t>
      </w:r>
      <w:r w:rsidRPr="00424098">
        <w:rPr>
          <w:rFonts w:ascii="Times New Roman" w:hAnsi="Times New Roman" w:cs="Times New Roman"/>
          <w:i/>
        </w:rPr>
        <w:t>Australian Feminist Law Journal</w:t>
      </w:r>
      <w:r w:rsidRPr="00424098">
        <w:rPr>
          <w:rFonts w:ascii="Times New Roman" w:hAnsi="Times New Roman" w:cs="Times New Roman"/>
        </w:rPr>
        <w:t xml:space="preserve"> 33, 48.</w:t>
      </w:r>
    </w:p>
  </w:footnote>
  <w:footnote w:id="96">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Roseman and Miller, n </w:t>
      </w:r>
      <w:r w:rsidR="00F13FCB">
        <w:rPr>
          <w:rFonts w:ascii="Times New Roman" w:hAnsi="Times New Roman" w:cs="Times New Roman"/>
        </w:rPr>
        <w:fldChar w:fldCharType="begin"/>
      </w:r>
      <w:r w:rsidR="00F13FCB">
        <w:rPr>
          <w:rFonts w:ascii="Times New Roman" w:hAnsi="Times New Roman" w:cs="Times New Roman"/>
        </w:rPr>
        <w:instrText xml:space="preserve"> NOTEREF _Ref423694452 \h </w:instrText>
      </w:r>
      <w:r w:rsidR="00F13FCB">
        <w:rPr>
          <w:rFonts w:ascii="Times New Roman" w:hAnsi="Times New Roman" w:cs="Times New Roman"/>
        </w:rPr>
      </w:r>
      <w:r w:rsidR="00F13FCB">
        <w:rPr>
          <w:rFonts w:ascii="Times New Roman" w:hAnsi="Times New Roman" w:cs="Times New Roman"/>
        </w:rPr>
        <w:fldChar w:fldCharType="separate"/>
      </w:r>
      <w:r w:rsidR="006E1812">
        <w:rPr>
          <w:rFonts w:ascii="Times New Roman" w:hAnsi="Times New Roman" w:cs="Times New Roman"/>
        </w:rPr>
        <w:t>49</w:t>
      </w:r>
      <w:r w:rsidR="00F13FCB">
        <w:rPr>
          <w:rFonts w:ascii="Times New Roman" w:hAnsi="Times New Roman" w:cs="Times New Roman"/>
        </w:rPr>
        <w:fldChar w:fldCharType="end"/>
      </w:r>
      <w:r w:rsidRPr="00424098">
        <w:rPr>
          <w:rFonts w:ascii="Times New Roman" w:hAnsi="Times New Roman" w:cs="Times New Roman"/>
        </w:rPr>
        <w:t>, 362.</w:t>
      </w:r>
    </w:p>
  </w:footnote>
  <w:footnote w:id="97">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‘Report of the Special Rapporteur on the promotion and protection of human rights and fundamental freedoms while countering terrorism’, UN Doc A/64/211, sect III (3 August 2009).</w:t>
      </w:r>
    </w:p>
  </w:footnote>
  <w:footnote w:id="98">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 xml:space="preserve">ibid [21].In addition to the Yogyakarta </w:t>
      </w:r>
      <w:r w:rsidR="00F13FCB">
        <w:rPr>
          <w:rFonts w:ascii="Times New Roman" w:hAnsi="Times New Roman" w:cs="Times New Roman"/>
          <w:lang w:val="en-AU"/>
        </w:rPr>
        <w:t>P</w:t>
      </w:r>
      <w:r w:rsidRPr="00424098">
        <w:rPr>
          <w:rFonts w:ascii="Times New Roman" w:hAnsi="Times New Roman" w:cs="Times New Roman"/>
          <w:lang w:val="en-AU"/>
        </w:rPr>
        <w:t>rinciples, t</w:t>
      </w:r>
      <w:r w:rsidRPr="00424098">
        <w:rPr>
          <w:rFonts w:ascii="Times New Roman" w:hAnsi="Times New Roman" w:cs="Times New Roman"/>
        </w:rPr>
        <w:t>he Special Rapporteur cites the UNHCR ‘Guidelines on International Protection No.1: Gender-Related Persecution Within the Context of Article 1A(2) of the 1951 Convention and/or its 1967 Protocol relating to the Status of Refugees’ (7 May 2002)</w:t>
      </w:r>
      <w:r w:rsidR="00F13FCB">
        <w:rPr>
          <w:rFonts w:ascii="Times New Roman" w:hAnsi="Times New Roman" w:cs="Times New Roman"/>
        </w:rPr>
        <w:t xml:space="preserve"> UN Doc </w:t>
      </w:r>
      <w:r w:rsidRPr="00424098">
        <w:rPr>
          <w:rFonts w:ascii="Times New Roman" w:hAnsi="Times New Roman" w:cs="Times New Roman"/>
        </w:rPr>
        <w:t>HCR/GIP/02/01; Committee on the Elimination of Discrimination Against Women ‘General Recommendation No. 25’ (2004) UN Doc A/59/38 (Supp.) annex 1; UN Committee on Economic, Social and Cultural Rights, ‘General Comment No 20: Non-discrimination in economic, social and cultural rights’ (2009)</w:t>
      </w:r>
      <w:r w:rsidR="00F13FCB">
        <w:rPr>
          <w:rFonts w:ascii="Times New Roman" w:hAnsi="Times New Roman" w:cs="Times New Roman"/>
        </w:rPr>
        <w:t xml:space="preserve"> UN Doc </w:t>
      </w:r>
      <w:r w:rsidRPr="00424098">
        <w:rPr>
          <w:rFonts w:ascii="Times New Roman" w:hAnsi="Times New Roman" w:cs="Times New Roman"/>
        </w:rPr>
        <w:t xml:space="preserve">E/C.12/GC/20 [32]. </w:t>
      </w:r>
    </w:p>
  </w:footnote>
  <w:footnote w:id="99">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ibid [20]. See further summary and [52] (conclusions).</w:t>
      </w:r>
    </w:p>
  </w:footnote>
  <w:footnote w:id="100">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ibid</w:t>
      </w:r>
      <w:r w:rsidRPr="00424098">
        <w:rPr>
          <w:rFonts w:ascii="Times New Roman" w:hAnsi="Times New Roman" w:cs="Times New Roman"/>
          <w:lang w:val="en-AU"/>
        </w:rPr>
        <w:t xml:space="preserve"> [20].</w:t>
      </w:r>
    </w:p>
  </w:footnote>
  <w:footnote w:id="101">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ibid, for example, checkpoint delays which have increased the risks associated with childbirth for Palestinian women and the impact of counter-terrorism measures on the economic, social and cultural rights of Chechnyan women: Report of the Special Rapporteur 2009 [18]; the targeting of women for attack and repression by many groups involved in conflict as in Iraq, [23]; the risks to the security and liberty of women related to male terrorism suspects as in Uganda, [31]; and the penalization of women who wear particular forms of religious clothing as in the Maldives and parts of Europe, [38].</w:t>
      </w:r>
    </w:p>
  </w:footnote>
  <w:footnote w:id="102">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ibid, for example,  he condemns vague definitions of ‘terrorism’ that have justified measures that target those individuals who do not conform to traditional gender roles, such as attacks on meti (effeminate males or transgendered people) in Nepal, ibid [23]; and the arrests and persecution of ‘suspected homosexuals’ in Egypt, [27].</w:t>
      </w:r>
    </w:p>
  </w:footnote>
  <w:footnote w:id="103">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ibid, for example, the use of gender stereotypes in profiling male terrorist suspects</w:t>
      </w:r>
      <w:r w:rsidRPr="00424098">
        <w:rPr>
          <w:rFonts w:ascii="Times New Roman" w:hAnsi="Times New Roman" w:cs="Times New Roman"/>
          <w:lang w:val="en-AU"/>
        </w:rPr>
        <w:t xml:space="preserve">, ibid [37]; </w:t>
      </w:r>
      <w:r w:rsidRPr="00424098">
        <w:rPr>
          <w:rFonts w:ascii="Times New Roman" w:hAnsi="Times New Roman" w:cs="Times New Roman"/>
        </w:rPr>
        <w:t>and the use of gender-specific interrogation techniques which exploit perceptions of Muslim men’s homophobia and seek to induce feelings of emasculation, [44]</w:t>
      </w:r>
      <w:r w:rsidRPr="00424098">
        <w:rPr>
          <w:rFonts w:ascii="Times New Roman" w:hAnsi="Times New Roman" w:cs="Times New Roman"/>
          <w:lang w:val="en-AU"/>
        </w:rPr>
        <w:t>.</w:t>
      </w:r>
    </w:p>
  </w:footnote>
  <w:footnote w:id="104">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w:t>
      </w:r>
      <w:r w:rsidR="00F13FCB">
        <w:rPr>
          <w:rFonts w:ascii="Times New Roman" w:hAnsi="Times New Roman" w:cs="Times New Roman"/>
        </w:rPr>
        <w:t>i</w:t>
      </w:r>
      <w:r w:rsidRPr="00424098">
        <w:rPr>
          <w:rFonts w:ascii="Times New Roman" w:hAnsi="Times New Roman" w:cs="Times New Roman"/>
        </w:rPr>
        <w:t>bid [</w:t>
      </w:r>
      <w:r w:rsidRPr="00424098">
        <w:rPr>
          <w:rFonts w:ascii="Times New Roman" w:hAnsi="Times New Roman" w:cs="Times New Roman"/>
          <w:lang w:val="en-AU"/>
        </w:rPr>
        <w:t>36].</w:t>
      </w:r>
    </w:p>
  </w:footnote>
  <w:footnote w:id="105">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ibid [</w:t>
      </w:r>
      <w:r w:rsidRPr="00424098">
        <w:rPr>
          <w:rFonts w:ascii="Times New Roman" w:hAnsi="Times New Roman" w:cs="Times New Roman"/>
          <w:lang w:val="en-AU"/>
        </w:rPr>
        <w:t>48].</w:t>
      </w:r>
    </w:p>
  </w:footnote>
  <w:footnote w:id="106">
    <w:p w:rsidR="00EC2FCD" w:rsidRPr="00424098" w:rsidRDefault="00EC2FCD">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ibid [</w:t>
      </w:r>
      <w:r w:rsidRPr="00424098">
        <w:rPr>
          <w:rFonts w:ascii="Times New Roman" w:hAnsi="Times New Roman" w:cs="Times New Roman"/>
          <w:lang w:val="en-AU"/>
        </w:rPr>
        <w:t>27].</w:t>
      </w:r>
    </w:p>
  </w:footnote>
  <w:footnote w:id="107">
    <w:p w:rsidR="00EC2FCD" w:rsidRPr="00424098" w:rsidRDefault="00EC2FCD" w:rsidP="00F9318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Simone de Beauvoir, </w:t>
      </w:r>
      <w:r w:rsidRPr="00424098">
        <w:rPr>
          <w:rFonts w:ascii="Times New Roman" w:hAnsi="Times New Roman" w:cs="Times New Roman"/>
          <w:i/>
        </w:rPr>
        <w:t>The Second Sex</w:t>
      </w:r>
      <w:r w:rsidRPr="00424098">
        <w:rPr>
          <w:rFonts w:ascii="Times New Roman" w:hAnsi="Times New Roman" w:cs="Times New Roman"/>
        </w:rPr>
        <w:t xml:space="preserve"> (H M Parshley ed and tr, Vintage Books 1974) 295.</w:t>
      </w:r>
    </w:p>
  </w:footnote>
  <w:footnote w:id="108">
    <w:p w:rsidR="00EC2FCD" w:rsidRPr="00424098" w:rsidRDefault="00EC2FCD" w:rsidP="00F93183">
      <w:pPr>
        <w:spacing w:after="0" w:line="240" w:lineRule="auto"/>
        <w:rPr>
          <w:rFonts w:ascii="Times New Roman" w:hAnsi="Times New Roman" w:cs="Times New Roman"/>
          <w:sz w:val="20"/>
          <w:szCs w:val="20"/>
        </w:rPr>
      </w:pPr>
      <w:r w:rsidRPr="00424098">
        <w:rPr>
          <w:rStyle w:val="FootnoteReference"/>
          <w:rFonts w:ascii="Times New Roman" w:hAnsi="Times New Roman"/>
          <w:sz w:val="20"/>
          <w:szCs w:val="20"/>
        </w:rPr>
        <w:footnoteRef/>
      </w:r>
      <w:r w:rsidRPr="00424098">
        <w:rPr>
          <w:rFonts w:ascii="Times New Roman" w:hAnsi="Times New Roman" w:cs="Times New Roman"/>
          <w:sz w:val="20"/>
          <w:szCs w:val="20"/>
        </w:rPr>
        <w:t xml:space="preserve"> Butler, n </w:t>
      </w:r>
      <w:r w:rsidR="00F13FCB">
        <w:rPr>
          <w:rFonts w:ascii="Times New Roman" w:hAnsi="Times New Roman" w:cs="Times New Roman"/>
          <w:sz w:val="20"/>
          <w:szCs w:val="20"/>
        </w:rPr>
        <w:fldChar w:fldCharType="begin"/>
      </w:r>
      <w:r w:rsidR="00F13FCB">
        <w:rPr>
          <w:rFonts w:ascii="Times New Roman" w:hAnsi="Times New Roman" w:cs="Times New Roman"/>
          <w:sz w:val="20"/>
          <w:szCs w:val="20"/>
        </w:rPr>
        <w:instrText xml:space="preserve"> NOTEREF _Ref431740181 \h </w:instrText>
      </w:r>
      <w:r w:rsidR="00F13FCB">
        <w:rPr>
          <w:rFonts w:ascii="Times New Roman" w:hAnsi="Times New Roman" w:cs="Times New Roman"/>
          <w:sz w:val="20"/>
          <w:szCs w:val="20"/>
        </w:rPr>
      </w:r>
      <w:r w:rsidR="00F13FCB">
        <w:rPr>
          <w:rFonts w:ascii="Times New Roman" w:hAnsi="Times New Roman" w:cs="Times New Roman"/>
          <w:sz w:val="20"/>
          <w:szCs w:val="20"/>
        </w:rPr>
        <w:fldChar w:fldCharType="separate"/>
      </w:r>
      <w:r w:rsidR="006E1812">
        <w:rPr>
          <w:rFonts w:ascii="Times New Roman" w:hAnsi="Times New Roman" w:cs="Times New Roman"/>
          <w:sz w:val="20"/>
          <w:szCs w:val="20"/>
        </w:rPr>
        <w:t>12</w:t>
      </w:r>
      <w:r w:rsidR="00F13FCB">
        <w:rPr>
          <w:rFonts w:ascii="Times New Roman" w:hAnsi="Times New Roman" w:cs="Times New Roman"/>
          <w:sz w:val="20"/>
          <w:szCs w:val="20"/>
        </w:rPr>
        <w:fldChar w:fldCharType="end"/>
      </w:r>
      <w:r w:rsidR="00F13FCB">
        <w:rPr>
          <w:rFonts w:ascii="Times New Roman" w:hAnsi="Times New Roman" w:cs="Times New Roman"/>
          <w:sz w:val="20"/>
          <w:szCs w:val="20"/>
        </w:rPr>
        <w:t xml:space="preserve">, </w:t>
      </w:r>
      <w:r w:rsidRPr="00424098">
        <w:rPr>
          <w:rFonts w:ascii="Times New Roman" w:hAnsi="Times New Roman" w:cs="Times New Roman"/>
          <w:sz w:val="20"/>
          <w:szCs w:val="20"/>
        </w:rPr>
        <w:t>140-141.</w:t>
      </w:r>
    </w:p>
  </w:footnote>
  <w:footnote w:id="109">
    <w:p w:rsidR="00EC2FCD" w:rsidRPr="00424098" w:rsidRDefault="00EC2FCD" w:rsidP="00F93183">
      <w:pPr>
        <w:pStyle w:val="FootnoteText"/>
        <w:rPr>
          <w:rFonts w:ascii="Times New Roman" w:hAnsi="Times New Roman" w:cs="Times New Roman"/>
        </w:rPr>
      </w:pPr>
      <w:r w:rsidRPr="00424098">
        <w:rPr>
          <w:rStyle w:val="FootnoteReference"/>
          <w:rFonts w:ascii="Times New Roman" w:hAnsi="Times New Roman"/>
        </w:rPr>
        <w:footnoteRef/>
      </w:r>
      <w:r w:rsidRPr="00424098">
        <w:rPr>
          <w:rFonts w:ascii="Times New Roman" w:hAnsi="Times New Roman" w:cs="Times New Roman"/>
        </w:rPr>
        <w:t xml:space="preserve"> See further, Otto, n</w:t>
      </w:r>
      <w:r w:rsidR="00F13FCB">
        <w:rPr>
          <w:rFonts w:ascii="Times New Roman" w:hAnsi="Times New Roman" w:cs="Times New Roman"/>
        </w:rPr>
        <w:t xml:space="preserve"> </w:t>
      </w:r>
      <w:r w:rsidR="00F13FCB">
        <w:rPr>
          <w:rFonts w:ascii="Times New Roman" w:hAnsi="Times New Roman" w:cs="Times New Roman"/>
        </w:rPr>
        <w:fldChar w:fldCharType="begin"/>
      </w:r>
      <w:r w:rsidR="00F13FCB">
        <w:rPr>
          <w:rFonts w:ascii="Times New Roman" w:hAnsi="Times New Roman" w:cs="Times New Roman"/>
        </w:rPr>
        <w:instrText xml:space="preserve"> NOTEREF _Ref431740381 \h </w:instrText>
      </w:r>
      <w:r w:rsidR="00F13FCB">
        <w:rPr>
          <w:rFonts w:ascii="Times New Roman" w:hAnsi="Times New Roman" w:cs="Times New Roman"/>
        </w:rPr>
      </w:r>
      <w:r w:rsidR="00F13FCB">
        <w:rPr>
          <w:rFonts w:ascii="Times New Roman" w:hAnsi="Times New Roman" w:cs="Times New Roman"/>
        </w:rPr>
        <w:fldChar w:fldCharType="separate"/>
      </w:r>
      <w:r w:rsidR="006E1812">
        <w:rPr>
          <w:rFonts w:ascii="Times New Roman" w:hAnsi="Times New Roman" w:cs="Times New Roman"/>
        </w:rPr>
        <w:t>69</w:t>
      </w:r>
      <w:r w:rsidR="00F13FCB">
        <w:rPr>
          <w:rFonts w:ascii="Times New Roman" w:hAnsi="Times New Roman" w:cs="Times New Roman"/>
        </w:rPr>
        <w:fldChar w:fldCharType="end"/>
      </w:r>
      <w:r w:rsidRPr="00424098">
        <w:rPr>
          <w:rFonts w:ascii="Times New Roman" w:hAnsi="Times New Roman" w:cs="Times New Roman"/>
          <w:shd w:val="clear" w:color="auto" w:fill="FFFFFF"/>
        </w:rPr>
        <w:t>.</w:t>
      </w:r>
      <w:r w:rsidRPr="00424098">
        <w:rPr>
          <w:rFonts w:ascii="Times New Roman" w:hAnsi="Times New Roman" w:cs="Times New Roman"/>
        </w:rPr>
        <w:t xml:space="preserve"> </w:t>
      </w:r>
    </w:p>
  </w:footnote>
  <w:footnote w:id="110">
    <w:p w:rsidR="00EC2FCD" w:rsidRPr="00424098" w:rsidRDefault="00EC2FCD">
      <w:pPr>
        <w:pStyle w:val="FootnoteText"/>
        <w:rPr>
          <w:rFonts w:ascii="Times New Roman" w:hAnsi="Times New Roman" w:cs="Times New Roman"/>
          <w:lang w:val="en-AU"/>
        </w:rPr>
      </w:pPr>
      <w:r w:rsidRPr="00424098">
        <w:rPr>
          <w:rStyle w:val="FootnoteReference"/>
          <w:rFonts w:ascii="Times New Roman" w:hAnsi="Times New Roman"/>
        </w:rPr>
        <w:footnoteRef/>
      </w:r>
      <w:r w:rsidRPr="00424098">
        <w:rPr>
          <w:rFonts w:ascii="Times New Roman" w:hAnsi="Times New Roman" w:cs="Times New Roman"/>
        </w:rPr>
        <w:t xml:space="preserve"> </w:t>
      </w:r>
      <w:r w:rsidRPr="00424098">
        <w:rPr>
          <w:rFonts w:ascii="Times New Roman" w:hAnsi="Times New Roman" w:cs="Times New Roman"/>
          <w:lang w:val="en-AU"/>
        </w:rPr>
        <w:t xml:space="preserve">Dianne Otto, </w:t>
      </w:r>
      <w:r w:rsidRPr="00424098">
        <w:rPr>
          <w:rFonts w:ascii="Times New Roman" w:hAnsi="Times New Roman" w:cs="Times New Roman"/>
        </w:rPr>
        <w:t xml:space="preserve">‘Sexualities and Solidarities: Some Thoughts on Coalitional Strategies in the Context of International Law’ (1999) 8 </w:t>
      </w:r>
      <w:hyperlink r:id="rId17" w:history="1">
        <w:r w:rsidRPr="00424098">
          <w:rPr>
            <w:rStyle w:val="Hyperlink"/>
            <w:rFonts w:ascii="Times New Roman" w:hAnsi="Times New Roman"/>
            <w:i/>
            <w:iCs/>
            <w:color w:val="auto"/>
            <w:u w:val="none"/>
          </w:rPr>
          <w:t>Australasian Gay and Lesbian Law Journal</w:t>
        </w:r>
      </w:hyperlink>
      <w:r w:rsidRPr="00424098">
        <w:rPr>
          <w:rFonts w:ascii="Times New Roman" w:hAnsi="Times New Roman" w:cs="Times New Roman"/>
        </w:rPr>
        <w:t xml:space="preserve"> 27.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35D35"/>
    <w:multiLevelType w:val="hybridMultilevel"/>
    <w:tmpl w:val="1E5E5D16"/>
    <w:lvl w:ilvl="0" w:tplc="213EB88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1AAD0A19"/>
    <w:multiLevelType w:val="hybridMultilevel"/>
    <w:tmpl w:val="B91AC79E"/>
    <w:lvl w:ilvl="0" w:tplc="BDE21736">
      <w:start w:val="3"/>
      <w:numFmt w:val="bullet"/>
      <w:lvlText w:val="-"/>
      <w:lvlJc w:val="left"/>
      <w:pPr>
        <w:ind w:left="720" w:hanging="360"/>
      </w:pPr>
      <w:rPr>
        <w:rFonts w:ascii="Garamond" w:eastAsia="Times New Roman" w:hAnsi="Garamond"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B69057E"/>
    <w:multiLevelType w:val="hybridMultilevel"/>
    <w:tmpl w:val="871E02E0"/>
    <w:lvl w:ilvl="0" w:tplc="0C09000F">
      <w:start w:val="1"/>
      <w:numFmt w:val="decimal"/>
      <w:lvlText w:val="%1."/>
      <w:lvlJc w:val="left"/>
      <w:pPr>
        <w:tabs>
          <w:tab w:val="num" w:pos="786"/>
        </w:tabs>
        <w:ind w:left="786" w:hanging="360"/>
      </w:pPr>
      <w:rPr>
        <w:rFonts w:cs="Times New Roman"/>
      </w:rPr>
    </w:lvl>
    <w:lvl w:ilvl="1" w:tplc="00010409">
      <w:start w:val="1"/>
      <w:numFmt w:val="bullet"/>
      <w:lvlText w:val=""/>
      <w:lvlJc w:val="left"/>
      <w:pPr>
        <w:tabs>
          <w:tab w:val="num" w:pos="1506"/>
        </w:tabs>
        <w:ind w:left="1506" w:hanging="360"/>
      </w:pPr>
      <w:rPr>
        <w:rFonts w:ascii="Symbol" w:hAnsi="Symbol" w:hint="default"/>
      </w:rPr>
    </w:lvl>
    <w:lvl w:ilvl="2" w:tplc="0C09001B">
      <w:start w:val="1"/>
      <w:numFmt w:val="lowerRoman"/>
      <w:lvlText w:val="%3."/>
      <w:lvlJc w:val="right"/>
      <w:pPr>
        <w:tabs>
          <w:tab w:val="num" w:pos="2226"/>
        </w:tabs>
        <w:ind w:left="2226" w:hanging="180"/>
      </w:pPr>
      <w:rPr>
        <w:rFonts w:cs="Times New Roman"/>
      </w:rPr>
    </w:lvl>
    <w:lvl w:ilvl="3" w:tplc="0C09000F" w:tentative="1">
      <w:start w:val="1"/>
      <w:numFmt w:val="decimal"/>
      <w:lvlText w:val="%4."/>
      <w:lvlJc w:val="left"/>
      <w:pPr>
        <w:tabs>
          <w:tab w:val="num" w:pos="2946"/>
        </w:tabs>
        <w:ind w:left="2946" w:hanging="360"/>
      </w:pPr>
      <w:rPr>
        <w:rFonts w:cs="Times New Roman"/>
      </w:rPr>
    </w:lvl>
    <w:lvl w:ilvl="4" w:tplc="0C090019" w:tentative="1">
      <w:start w:val="1"/>
      <w:numFmt w:val="lowerLetter"/>
      <w:lvlText w:val="%5."/>
      <w:lvlJc w:val="left"/>
      <w:pPr>
        <w:tabs>
          <w:tab w:val="num" w:pos="3666"/>
        </w:tabs>
        <w:ind w:left="3666" w:hanging="360"/>
      </w:pPr>
      <w:rPr>
        <w:rFonts w:cs="Times New Roman"/>
      </w:rPr>
    </w:lvl>
    <w:lvl w:ilvl="5" w:tplc="0C09001B" w:tentative="1">
      <w:start w:val="1"/>
      <w:numFmt w:val="lowerRoman"/>
      <w:lvlText w:val="%6."/>
      <w:lvlJc w:val="right"/>
      <w:pPr>
        <w:tabs>
          <w:tab w:val="num" w:pos="4386"/>
        </w:tabs>
        <w:ind w:left="4386" w:hanging="180"/>
      </w:pPr>
      <w:rPr>
        <w:rFonts w:cs="Times New Roman"/>
      </w:rPr>
    </w:lvl>
    <w:lvl w:ilvl="6" w:tplc="0C09000F" w:tentative="1">
      <w:start w:val="1"/>
      <w:numFmt w:val="decimal"/>
      <w:lvlText w:val="%7."/>
      <w:lvlJc w:val="left"/>
      <w:pPr>
        <w:tabs>
          <w:tab w:val="num" w:pos="5106"/>
        </w:tabs>
        <w:ind w:left="5106" w:hanging="360"/>
      </w:pPr>
      <w:rPr>
        <w:rFonts w:cs="Times New Roman"/>
      </w:rPr>
    </w:lvl>
    <w:lvl w:ilvl="7" w:tplc="0C090019" w:tentative="1">
      <w:start w:val="1"/>
      <w:numFmt w:val="lowerLetter"/>
      <w:lvlText w:val="%8."/>
      <w:lvlJc w:val="left"/>
      <w:pPr>
        <w:tabs>
          <w:tab w:val="num" w:pos="5826"/>
        </w:tabs>
        <w:ind w:left="5826" w:hanging="360"/>
      </w:pPr>
      <w:rPr>
        <w:rFonts w:cs="Times New Roman"/>
      </w:rPr>
    </w:lvl>
    <w:lvl w:ilvl="8" w:tplc="0C09001B" w:tentative="1">
      <w:start w:val="1"/>
      <w:numFmt w:val="lowerRoman"/>
      <w:lvlText w:val="%9."/>
      <w:lvlJc w:val="right"/>
      <w:pPr>
        <w:tabs>
          <w:tab w:val="num" w:pos="6546"/>
        </w:tabs>
        <w:ind w:left="6546" w:hanging="180"/>
      </w:pPr>
      <w:rPr>
        <w:rFonts w:cs="Times New Roman"/>
      </w:rPr>
    </w:lvl>
  </w:abstractNum>
  <w:abstractNum w:abstractNumId="3">
    <w:nsid w:val="2DC47EB1"/>
    <w:multiLevelType w:val="hybridMultilevel"/>
    <w:tmpl w:val="0EEE31BC"/>
    <w:lvl w:ilvl="0" w:tplc="0C09000F">
      <w:start w:val="1"/>
      <w:numFmt w:val="decimal"/>
      <w:lvlText w:val="%1."/>
      <w:lvlJc w:val="left"/>
      <w:pPr>
        <w:tabs>
          <w:tab w:val="num" w:pos="720"/>
        </w:tabs>
        <w:ind w:left="720" w:hanging="360"/>
      </w:pPr>
      <w:rPr>
        <w:rFonts w:cs="Times New Roman"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4">
    <w:nsid w:val="3D620B79"/>
    <w:multiLevelType w:val="hybridMultilevel"/>
    <w:tmpl w:val="CA583D84"/>
    <w:lvl w:ilvl="0" w:tplc="E38E3CF4">
      <w:start w:val="1"/>
      <w:numFmt w:val="low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411636D5"/>
    <w:multiLevelType w:val="hybridMultilevel"/>
    <w:tmpl w:val="5EA44F1C"/>
    <w:lvl w:ilvl="0" w:tplc="E31C5AAC">
      <w:start w:val="1"/>
      <w:numFmt w:val="decimal"/>
      <w:lvlText w:val="%1."/>
      <w:lvlJc w:val="left"/>
      <w:pPr>
        <w:tabs>
          <w:tab w:val="num" w:pos="360"/>
        </w:tabs>
        <w:ind w:left="360" w:hanging="360"/>
      </w:pPr>
      <w:rPr>
        <w:rFonts w:cs="Times New Roman"/>
        <w:b w:val="0"/>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6">
    <w:nsid w:val="41423166"/>
    <w:multiLevelType w:val="hybridMultilevel"/>
    <w:tmpl w:val="0C96583C"/>
    <w:lvl w:ilvl="0" w:tplc="7004C884">
      <w:start w:val="2"/>
      <w:numFmt w:val="bullet"/>
      <w:lvlText w:val="-"/>
      <w:lvlJc w:val="left"/>
      <w:pPr>
        <w:ind w:left="720" w:hanging="360"/>
      </w:pPr>
      <w:rPr>
        <w:rFonts w:ascii="Garamond" w:eastAsia="Times New Roman" w:hAnsi="Garamond"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5227741"/>
    <w:multiLevelType w:val="hybridMultilevel"/>
    <w:tmpl w:val="338E2AB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484F4D43"/>
    <w:multiLevelType w:val="hybridMultilevel"/>
    <w:tmpl w:val="D6B2F184"/>
    <w:lvl w:ilvl="0" w:tplc="2C0C5574">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51770A7C"/>
    <w:multiLevelType w:val="hybridMultilevel"/>
    <w:tmpl w:val="2C68F8F4"/>
    <w:lvl w:ilvl="0" w:tplc="DB14509E">
      <w:numFmt w:val="bullet"/>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5A071715"/>
    <w:multiLevelType w:val="hybridMultilevel"/>
    <w:tmpl w:val="8EB2A9BA"/>
    <w:lvl w:ilvl="0" w:tplc="640823AA">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5E9B3709"/>
    <w:multiLevelType w:val="hybridMultilevel"/>
    <w:tmpl w:val="FAE0010E"/>
    <w:lvl w:ilvl="0" w:tplc="2CAAE09A">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633652A2"/>
    <w:multiLevelType w:val="hybridMultilevel"/>
    <w:tmpl w:val="327C07EC"/>
    <w:lvl w:ilvl="0" w:tplc="1410FD82">
      <w:start w:val="1"/>
      <w:numFmt w:val="bullet"/>
      <w:lvlText w:val="-"/>
      <w:lvlJc w:val="left"/>
      <w:pPr>
        <w:tabs>
          <w:tab w:val="num" w:pos="720"/>
        </w:tabs>
        <w:ind w:left="720" w:hanging="360"/>
      </w:pPr>
      <w:rPr>
        <w:rFonts w:ascii="Trebuchet MS" w:eastAsia="SimSun" w:hAnsi="Trebuchet MS"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3">
    <w:nsid w:val="679D4CF0"/>
    <w:multiLevelType w:val="hybridMultilevel"/>
    <w:tmpl w:val="D89C86F0"/>
    <w:lvl w:ilvl="0" w:tplc="4F3E87B4">
      <w:start w:val="1"/>
      <w:numFmt w:val="decimal"/>
      <w:lvlText w:val="%1."/>
      <w:lvlJc w:val="left"/>
      <w:pPr>
        <w:ind w:left="786" w:hanging="360"/>
      </w:pPr>
      <w:rPr>
        <w:rFonts w:cs="Times New Roman" w:hint="default"/>
        <w:b w:val="0"/>
        <w:i w:val="0"/>
      </w:rPr>
    </w:lvl>
    <w:lvl w:ilvl="1" w:tplc="0C090019">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14">
    <w:nsid w:val="6CA705DB"/>
    <w:multiLevelType w:val="hybridMultilevel"/>
    <w:tmpl w:val="338E2AB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6D2A3745"/>
    <w:multiLevelType w:val="hybridMultilevel"/>
    <w:tmpl w:val="338E2AB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73B54616"/>
    <w:multiLevelType w:val="hybridMultilevel"/>
    <w:tmpl w:val="A15CC69A"/>
    <w:lvl w:ilvl="0" w:tplc="63228C30">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nsid w:val="749133E5"/>
    <w:multiLevelType w:val="hybridMultilevel"/>
    <w:tmpl w:val="CA583D84"/>
    <w:lvl w:ilvl="0" w:tplc="E38E3CF4">
      <w:start w:val="1"/>
      <w:numFmt w:val="low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74C57A46"/>
    <w:multiLevelType w:val="singleLevel"/>
    <w:tmpl w:val="2362C8FC"/>
    <w:lvl w:ilvl="0">
      <w:start w:val="1995"/>
      <w:numFmt w:val="bullet"/>
      <w:lvlText w:val="-"/>
      <w:lvlJc w:val="left"/>
      <w:pPr>
        <w:tabs>
          <w:tab w:val="num" w:pos="360"/>
        </w:tabs>
        <w:ind w:left="360" w:hanging="360"/>
      </w:pPr>
      <w:rPr>
        <w:rFonts w:ascii="Times New Roman" w:hAnsi="Times New Roman" w:hint="default"/>
      </w:rPr>
    </w:lvl>
  </w:abstractNum>
  <w:abstractNum w:abstractNumId="19">
    <w:nsid w:val="796E3862"/>
    <w:multiLevelType w:val="hybridMultilevel"/>
    <w:tmpl w:val="053AD640"/>
    <w:lvl w:ilvl="0" w:tplc="979258B2">
      <w:start w:val="3"/>
      <w:numFmt w:val="bullet"/>
      <w:lvlText w:val="-"/>
      <w:lvlJc w:val="left"/>
      <w:pPr>
        <w:tabs>
          <w:tab w:val="num" w:pos="720"/>
        </w:tabs>
        <w:ind w:left="720" w:hanging="360"/>
      </w:pPr>
      <w:rPr>
        <w:rFonts w:ascii="Garamond" w:eastAsia="Times New Roman" w:hAnsi="Garamond"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79980F32"/>
    <w:multiLevelType w:val="hybridMultilevel"/>
    <w:tmpl w:val="B07E6168"/>
    <w:lvl w:ilvl="0" w:tplc="67A822D6">
      <w:start w:val="4"/>
      <w:numFmt w:val="bullet"/>
      <w:lvlText w:val="-"/>
      <w:lvlJc w:val="left"/>
      <w:pPr>
        <w:ind w:left="720" w:hanging="360"/>
      </w:pPr>
      <w:rPr>
        <w:rFonts w:ascii="Garamond" w:eastAsia="Calibri" w:hAnsi="Garamond"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11"/>
  </w:num>
  <w:num w:numId="4">
    <w:abstractNumId w:val="12"/>
  </w:num>
  <w:num w:numId="5">
    <w:abstractNumId w:val="3"/>
  </w:num>
  <w:num w:numId="6">
    <w:abstractNumId w:val="18"/>
  </w:num>
  <w:num w:numId="7">
    <w:abstractNumId w:val="19"/>
  </w:num>
  <w:num w:numId="8">
    <w:abstractNumId w:val="1"/>
  </w:num>
  <w:num w:numId="9">
    <w:abstractNumId w:val="5"/>
  </w:num>
  <w:num w:numId="10">
    <w:abstractNumId w:val="6"/>
  </w:num>
  <w:num w:numId="11">
    <w:abstractNumId w:val="16"/>
  </w:num>
  <w:num w:numId="12">
    <w:abstractNumId w:val="17"/>
  </w:num>
  <w:num w:numId="13">
    <w:abstractNumId w:val="2"/>
  </w:num>
  <w:num w:numId="14">
    <w:abstractNumId w:val="13"/>
  </w:num>
  <w:num w:numId="15">
    <w:abstractNumId w:val="8"/>
  </w:num>
  <w:num w:numId="16">
    <w:abstractNumId w:val="15"/>
  </w:num>
  <w:num w:numId="17">
    <w:abstractNumId w:val="4"/>
  </w:num>
  <w:num w:numId="18">
    <w:abstractNumId w:val="20"/>
  </w:num>
  <w:num w:numId="19">
    <w:abstractNumId w:val="7"/>
  </w:num>
  <w:num w:numId="20">
    <w:abstractNumId w:val="14"/>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1B74"/>
    <w:rsid w:val="00001E9C"/>
    <w:rsid w:val="000055B3"/>
    <w:rsid w:val="00010F1A"/>
    <w:rsid w:val="0001137E"/>
    <w:rsid w:val="00011BA3"/>
    <w:rsid w:val="000120E5"/>
    <w:rsid w:val="00012219"/>
    <w:rsid w:val="00012421"/>
    <w:rsid w:val="00016106"/>
    <w:rsid w:val="0001757E"/>
    <w:rsid w:val="000203B8"/>
    <w:rsid w:val="0002051E"/>
    <w:rsid w:val="00021627"/>
    <w:rsid w:val="00021F85"/>
    <w:rsid w:val="000234F3"/>
    <w:rsid w:val="00023BCF"/>
    <w:rsid w:val="00024023"/>
    <w:rsid w:val="000272BF"/>
    <w:rsid w:val="0002774E"/>
    <w:rsid w:val="00034F6B"/>
    <w:rsid w:val="0004049A"/>
    <w:rsid w:val="00042DBC"/>
    <w:rsid w:val="00043DEB"/>
    <w:rsid w:val="0004457C"/>
    <w:rsid w:val="00050F97"/>
    <w:rsid w:val="0005154F"/>
    <w:rsid w:val="00054118"/>
    <w:rsid w:val="00054EE8"/>
    <w:rsid w:val="000557C8"/>
    <w:rsid w:val="00061692"/>
    <w:rsid w:val="00061DBD"/>
    <w:rsid w:val="00061E37"/>
    <w:rsid w:val="00064988"/>
    <w:rsid w:val="00066022"/>
    <w:rsid w:val="00071B74"/>
    <w:rsid w:val="00073F4A"/>
    <w:rsid w:val="000752C6"/>
    <w:rsid w:val="0007565A"/>
    <w:rsid w:val="00075E0C"/>
    <w:rsid w:val="000844CF"/>
    <w:rsid w:val="000852A8"/>
    <w:rsid w:val="00092655"/>
    <w:rsid w:val="00092C0C"/>
    <w:rsid w:val="0009329D"/>
    <w:rsid w:val="00097760"/>
    <w:rsid w:val="000A08E1"/>
    <w:rsid w:val="000A3C9D"/>
    <w:rsid w:val="000A4C68"/>
    <w:rsid w:val="000A4E87"/>
    <w:rsid w:val="000A7E12"/>
    <w:rsid w:val="000B007E"/>
    <w:rsid w:val="000B0B3D"/>
    <w:rsid w:val="000B1656"/>
    <w:rsid w:val="000B2F0F"/>
    <w:rsid w:val="000B2F9E"/>
    <w:rsid w:val="000C353D"/>
    <w:rsid w:val="000C47EA"/>
    <w:rsid w:val="000C694A"/>
    <w:rsid w:val="000D2365"/>
    <w:rsid w:val="000D51C4"/>
    <w:rsid w:val="000E3F65"/>
    <w:rsid w:val="000E67EF"/>
    <w:rsid w:val="000F226B"/>
    <w:rsid w:val="000F2ECF"/>
    <w:rsid w:val="000F55D4"/>
    <w:rsid w:val="000F5D69"/>
    <w:rsid w:val="000F63BF"/>
    <w:rsid w:val="000F6D61"/>
    <w:rsid w:val="0010646F"/>
    <w:rsid w:val="001065CE"/>
    <w:rsid w:val="00111791"/>
    <w:rsid w:val="00115FD5"/>
    <w:rsid w:val="00122622"/>
    <w:rsid w:val="00123C91"/>
    <w:rsid w:val="001308B7"/>
    <w:rsid w:val="00130AFE"/>
    <w:rsid w:val="0013143B"/>
    <w:rsid w:val="00131A86"/>
    <w:rsid w:val="0013209E"/>
    <w:rsid w:val="0013316F"/>
    <w:rsid w:val="001360A4"/>
    <w:rsid w:val="0014147E"/>
    <w:rsid w:val="00145BF9"/>
    <w:rsid w:val="001460F7"/>
    <w:rsid w:val="00146785"/>
    <w:rsid w:val="00150B71"/>
    <w:rsid w:val="00152004"/>
    <w:rsid w:val="001536A5"/>
    <w:rsid w:val="001543D8"/>
    <w:rsid w:val="00155C94"/>
    <w:rsid w:val="0015631A"/>
    <w:rsid w:val="001564F0"/>
    <w:rsid w:val="001568E9"/>
    <w:rsid w:val="00162A22"/>
    <w:rsid w:val="001645DB"/>
    <w:rsid w:val="00165BFC"/>
    <w:rsid w:val="001700CD"/>
    <w:rsid w:val="001707C2"/>
    <w:rsid w:val="001734F5"/>
    <w:rsid w:val="00173BB5"/>
    <w:rsid w:val="00174231"/>
    <w:rsid w:val="00177B60"/>
    <w:rsid w:val="00177D0B"/>
    <w:rsid w:val="00182868"/>
    <w:rsid w:val="001830BA"/>
    <w:rsid w:val="0018318E"/>
    <w:rsid w:val="001836FC"/>
    <w:rsid w:val="00184428"/>
    <w:rsid w:val="00184C93"/>
    <w:rsid w:val="0019309A"/>
    <w:rsid w:val="00194E00"/>
    <w:rsid w:val="00195EB3"/>
    <w:rsid w:val="00197090"/>
    <w:rsid w:val="001A3ACF"/>
    <w:rsid w:val="001A7FDC"/>
    <w:rsid w:val="001B1C1B"/>
    <w:rsid w:val="001B50C3"/>
    <w:rsid w:val="001C1DEA"/>
    <w:rsid w:val="001C6AAA"/>
    <w:rsid w:val="001C6F82"/>
    <w:rsid w:val="001C775B"/>
    <w:rsid w:val="001D0AE0"/>
    <w:rsid w:val="001D115C"/>
    <w:rsid w:val="001D3F93"/>
    <w:rsid w:val="001D6239"/>
    <w:rsid w:val="001D6B8E"/>
    <w:rsid w:val="001D7FB4"/>
    <w:rsid w:val="001E1739"/>
    <w:rsid w:val="001E3800"/>
    <w:rsid w:val="001F324E"/>
    <w:rsid w:val="001F3CCB"/>
    <w:rsid w:val="001F5566"/>
    <w:rsid w:val="002006E9"/>
    <w:rsid w:val="00201DA7"/>
    <w:rsid w:val="00202271"/>
    <w:rsid w:val="0020252F"/>
    <w:rsid w:val="002040D2"/>
    <w:rsid w:val="00210D23"/>
    <w:rsid w:val="00213D84"/>
    <w:rsid w:val="0021617B"/>
    <w:rsid w:val="00217274"/>
    <w:rsid w:val="00217939"/>
    <w:rsid w:val="002203FC"/>
    <w:rsid w:val="00220B98"/>
    <w:rsid w:val="002211CE"/>
    <w:rsid w:val="00222504"/>
    <w:rsid w:val="002234CA"/>
    <w:rsid w:val="0022418A"/>
    <w:rsid w:val="0022689E"/>
    <w:rsid w:val="002306C7"/>
    <w:rsid w:val="002335D6"/>
    <w:rsid w:val="00242EE6"/>
    <w:rsid w:val="00246C56"/>
    <w:rsid w:val="002504F2"/>
    <w:rsid w:val="00250D43"/>
    <w:rsid w:val="00261DCE"/>
    <w:rsid w:val="002645F0"/>
    <w:rsid w:val="00265135"/>
    <w:rsid w:val="0026675A"/>
    <w:rsid w:val="002679A4"/>
    <w:rsid w:val="00271C51"/>
    <w:rsid w:val="002726C5"/>
    <w:rsid w:val="002728C7"/>
    <w:rsid w:val="002737A1"/>
    <w:rsid w:val="00281C0A"/>
    <w:rsid w:val="00286421"/>
    <w:rsid w:val="002869B6"/>
    <w:rsid w:val="0029042F"/>
    <w:rsid w:val="00290F54"/>
    <w:rsid w:val="00292082"/>
    <w:rsid w:val="00295CBE"/>
    <w:rsid w:val="002A0C98"/>
    <w:rsid w:val="002A24A4"/>
    <w:rsid w:val="002A4C95"/>
    <w:rsid w:val="002A5226"/>
    <w:rsid w:val="002A743D"/>
    <w:rsid w:val="002A78DE"/>
    <w:rsid w:val="002B16EA"/>
    <w:rsid w:val="002B1E8B"/>
    <w:rsid w:val="002B215E"/>
    <w:rsid w:val="002B47D9"/>
    <w:rsid w:val="002B6D82"/>
    <w:rsid w:val="002B6F6D"/>
    <w:rsid w:val="002B795F"/>
    <w:rsid w:val="002C1C82"/>
    <w:rsid w:val="002C2911"/>
    <w:rsid w:val="002C31A8"/>
    <w:rsid w:val="002C3288"/>
    <w:rsid w:val="002C34C1"/>
    <w:rsid w:val="002C425F"/>
    <w:rsid w:val="002C450F"/>
    <w:rsid w:val="002C63A5"/>
    <w:rsid w:val="002D08DA"/>
    <w:rsid w:val="002D7CC1"/>
    <w:rsid w:val="002E0A33"/>
    <w:rsid w:val="002E0FBB"/>
    <w:rsid w:val="002E238E"/>
    <w:rsid w:val="002E276D"/>
    <w:rsid w:val="002E3752"/>
    <w:rsid w:val="002E4E03"/>
    <w:rsid w:val="002E7F72"/>
    <w:rsid w:val="00304B9D"/>
    <w:rsid w:val="00305192"/>
    <w:rsid w:val="00311B93"/>
    <w:rsid w:val="00312853"/>
    <w:rsid w:val="00312D52"/>
    <w:rsid w:val="003138CC"/>
    <w:rsid w:val="003175F1"/>
    <w:rsid w:val="003209E7"/>
    <w:rsid w:val="003257D5"/>
    <w:rsid w:val="00325E05"/>
    <w:rsid w:val="00327E2C"/>
    <w:rsid w:val="0033113C"/>
    <w:rsid w:val="003347BD"/>
    <w:rsid w:val="00335607"/>
    <w:rsid w:val="00337BBE"/>
    <w:rsid w:val="00341A09"/>
    <w:rsid w:val="00341B59"/>
    <w:rsid w:val="00345CEB"/>
    <w:rsid w:val="003525CF"/>
    <w:rsid w:val="00353EAB"/>
    <w:rsid w:val="0035615C"/>
    <w:rsid w:val="00357970"/>
    <w:rsid w:val="00357CC6"/>
    <w:rsid w:val="00362F8B"/>
    <w:rsid w:val="00364BE9"/>
    <w:rsid w:val="003652F5"/>
    <w:rsid w:val="0036552F"/>
    <w:rsid w:val="00365FE6"/>
    <w:rsid w:val="00367873"/>
    <w:rsid w:val="00371CF0"/>
    <w:rsid w:val="00373409"/>
    <w:rsid w:val="003735DE"/>
    <w:rsid w:val="00373691"/>
    <w:rsid w:val="00373ABF"/>
    <w:rsid w:val="00374E6D"/>
    <w:rsid w:val="0037636C"/>
    <w:rsid w:val="00382341"/>
    <w:rsid w:val="003847A0"/>
    <w:rsid w:val="003849B1"/>
    <w:rsid w:val="00390476"/>
    <w:rsid w:val="00391442"/>
    <w:rsid w:val="00393F9A"/>
    <w:rsid w:val="00394571"/>
    <w:rsid w:val="00397E5D"/>
    <w:rsid w:val="003A1CDE"/>
    <w:rsid w:val="003A21FE"/>
    <w:rsid w:val="003A2FD8"/>
    <w:rsid w:val="003A65A2"/>
    <w:rsid w:val="003A6A5A"/>
    <w:rsid w:val="003A7F67"/>
    <w:rsid w:val="003B0267"/>
    <w:rsid w:val="003B33CE"/>
    <w:rsid w:val="003B37AE"/>
    <w:rsid w:val="003C0E09"/>
    <w:rsid w:val="003C1F2C"/>
    <w:rsid w:val="003C20AD"/>
    <w:rsid w:val="003C2C84"/>
    <w:rsid w:val="003C2D46"/>
    <w:rsid w:val="003C36A1"/>
    <w:rsid w:val="003C6A4C"/>
    <w:rsid w:val="003D19C1"/>
    <w:rsid w:val="003D3AD2"/>
    <w:rsid w:val="003D490E"/>
    <w:rsid w:val="003D5C7B"/>
    <w:rsid w:val="003D5FB2"/>
    <w:rsid w:val="003E6A71"/>
    <w:rsid w:val="003F13D0"/>
    <w:rsid w:val="003F28C7"/>
    <w:rsid w:val="00400A59"/>
    <w:rsid w:val="00403BA7"/>
    <w:rsid w:val="004044D2"/>
    <w:rsid w:val="00405A2C"/>
    <w:rsid w:val="00406245"/>
    <w:rsid w:val="00412E24"/>
    <w:rsid w:val="00415664"/>
    <w:rsid w:val="00416120"/>
    <w:rsid w:val="00416256"/>
    <w:rsid w:val="00424098"/>
    <w:rsid w:val="004245E4"/>
    <w:rsid w:val="00424F99"/>
    <w:rsid w:val="0042534A"/>
    <w:rsid w:val="00425373"/>
    <w:rsid w:val="00425B11"/>
    <w:rsid w:val="004313C4"/>
    <w:rsid w:val="00437401"/>
    <w:rsid w:val="00441AD3"/>
    <w:rsid w:val="0044295A"/>
    <w:rsid w:val="004439DC"/>
    <w:rsid w:val="0044432D"/>
    <w:rsid w:val="004443D0"/>
    <w:rsid w:val="00450A5E"/>
    <w:rsid w:val="00450F8D"/>
    <w:rsid w:val="0045205B"/>
    <w:rsid w:val="00453680"/>
    <w:rsid w:val="00453A1A"/>
    <w:rsid w:val="00454E60"/>
    <w:rsid w:val="004553DF"/>
    <w:rsid w:val="00455BDA"/>
    <w:rsid w:val="00456828"/>
    <w:rsid w:val="004573D0"/>
    <w:rsid w:val="0046032C"/>
    <w:rsid w:val="00460FFD"/>
    <w:rsid w:val="00464014"/>
    <w:rsid w:val="0046457C"/>
    <w:rsid w:val="0046625E"/>
    <w:rsid w:val="0047240E"/>
    <w:rsid w:val="00473C60"/>
    <w:rsid w:val="00475725"/>
    <w:rsid w:val="00475C68"/>
    <w:rsid w:val="00476804"/>
    <w:rsid w:val="0048166C"/>
    <w:rsid w:val="004821AB"/>
    <w:rsid w:val="004828AB"/>
    <w:rsid w:val="00490D96"/>
    <w:rsid w:val="004913BD"/>
    <w:rsid w:val="00496BDC"/>
    <w:rsid w:val="004A0440"/>
    <w:rsid w:val="004A2D12"/>
    <w:rsid w:val="004A45D0"/>
    <w:rsid w:val="004A4C33"/>
    <w:rsid w:val="004A566D"/>
    <w:rsid w:val="004A6C01"/>
    <w:rsid w:val="004B0AC4"/>
    <w:rsid w:val="004B1425"/>
    <w:rsid w:val="004B1880"/>
    <w:rsid w:val="004B51D3"/>
    <w:rsid w:val="004B7737"/>
    <w:rsid w:val="004C2825"/>
    <w:rsid w:val="004C3414"/>
    <w:rsid w:val="004C4E9B"/>
    <w:rsid w:val="004E1B90"/>
    <w:rsid w:val="004E3A15"/>
    <w:rsid w:val="004E3F06"/>
    <w:rsid w:val="004E5266"/>
    <w:rsid w:val="004E66B7"/>
    <w:rsid w:val="004E6930"/>
    <w:rsid w:val="004E6BB2"/>
    <w:rsid w:val="004E6CC8"/>
    <w:rsid w:val="004F0EFE"/>
    <w:rsid w:val="004F2C41"/>
    <w:rsid w:val="004F6C16"/>
    <w:rsid w:val="00500BE4"/>
    <w:rsid w:val="00502A21"/>
    <w:rsid w:val="00504FFE"/>
    <w:rsid w:val="00505884"/>
    <w:rsid w:val="00513101"/>
    <w:rsid w:val="00516110"/>
    <w:rsid w:val="005240F7"/>
    <w:rsid w:val="005276FF"/>
    <w:rsid w:val="005310E9"/>
    <w:rsid w:val="0053163A"/>
    <w:rsid w:val="00532192"/>
    <w:rsid w:val="00532C3C"/>
    <w:rsid w:val="00533AC8"/>
    <w:rsid w:val="00533F21"/>
    <w:rsid w:val="00534205"/>
    <w:rsid w:val="00535816"/>
    <w:rsid w:val="00535D2B"/>
    <w:rsid w:val="00535EA6"/>
    <w:rsid w:val="00536C23"/>
    <w:rsid w:val="0053772D"/>
    <w:rsid w:val="00541077"/>
    <w:rsid w:val="005413AD"/>
    <w:rsid w:val="00543913"/>
    <w:rsid w:val="0054398D"/>
    <w:rsid w:val="00544EA2"/>
    <w:rsid w:val="00544FEB"/>
    <w:rsid w:val="00546CFE"/>
    <w:rsid w:val="00547718"/>
    <w:rsid w:val="00547D6A"/>
    <w:rsid w:val="0055200A"/>
    <w:rsid w:val="005530E5"/>
    <w:rsid w:val="00553183"/>
    <w:rsid w:val="0055503B"/>
    <w:rsid w:val="005611F7"/>
    <w:rsid w:val="0056133D"/>
    <w:rsid w:val="00563F23"/>
    <w:rsid w:val="00564043"/>
    <w:rsid w:val="00567CCB"/>
    <w:rsid w:val="00570A1B"/>
    <w:rsid w:val="00571C5E"/>
    <w:rsid w:val="00572D45"/>
    <w:rsid w:val="00573F1F"/>
    <w:rsid w:val="00576B80"/>
    <w:rsid w:val="0057709F"/>
    <w:rsid w:val="00577439"/>
    <w:rsid w:val="005803E6"/>
    <w:rsid w:val="00580896"/>
    <w:rsid w:val="00581EA9"/>
    <w:rsid w:val="00584487"/>
    <w:rsid w:val="0058706C"/>
    <w:rsid w:val="00587B81"/>
    <w:rsid w:val="00591C86"/>
    <w:rsid w:val="005931EA"/>
    <w:rsid w:val="00594491"/>
    <w:rsid w:val="00594493"/>
    <w:rsid w:val="005978E9"/>
    <w:rsid w:val="005A2720"/>
    <w:rsid w:val="005A30B8"/>
    <w:rsid w:val="005A3AF4"/>
    <w:rsid w:val="005A3F9C"/>
    <w:rsid w:val="005A4A40"/>
    <w:rsid w:val="005A5235"/>
    <w:rsid w:val="005A7602"/>
    <w:rsid w:val="005A7AB5"/>
    <w:rsid w:val="005B3FD0"/>
    <w:rsid w:val="005B452B"/>
    <w:rsid w:val="005B59C4"/>
    <w:rsid w:val="005B68D4"/>
    <w:rsid w:val="005C3A7D"/>
    <w:rsid w:val="005C3F13"/>
    <w:rsid w:val="005C45E6"/>
    <w:rsid w:val="005C4883"/>
    <w:rsid w:val="005C4A0F"/>
    <w:rsid w:val="005D0ED5"/>
    <w:rsid w:val="005D1E42"/>
    <w:rsid w:val="005D323F"/>
    <w:rsid w:val="005D409C"/>
    <w:rsid w:val="005D58C8"/>
    <w:rsid w:val="005D633F"/>
    <w:rsid w:val="005D660B"/>
    <w:rsid w:val="005D67D0"/>
    <w:rsid w:val="005E164A"/>
    <w:rsid w:val="005E21CA"/>
    <w:rsid w:val="005E6C72"/>
    <w:rsid w:val="005F29CA"/>
    <w:rsid w:val="00600049"/>
    <w:rsid w:val="00601B23"/>
    <w:rsid w:val="00603E5E"/>
    <w:rsid w:val="00603F4A"/>
    <w:rsid w:val="006047D9"/>
    <w:rsid w:val="006122AF"/>
    <w:rsid w:val="00613088"/>
    <w:rsid w:val="00614E1A"/>
    <w:rsid w:val="00615F6E"/>
    <w:rsid w:val="00621C75"/>
    <w:rsid w:val="00622C28"/>
    <w:rsid w:val="0062542C"/>
    <w:rsid w:val="00630669"/>
    <w:rsid w:val="006307B5"/>
    <w:rsid w:val="006315D6"/>
    <w:rsid w:val="00631B9B"/>
    <w:rsid w:val="006320A2"/>
    <w:rsid w:val="00632FDB"/>
    <w:rsid w:val="00637E92"/>
    <w:rsid w:val="006401F8"/>
    <w:rsid w:val="006427F1"/>
    <w:rsid w:val="006445DE"/>
    <w:rsid w:val="0064497F"/>
    <w:rsid w:val="00644B5E"/>
    <w:rsid w:val="00651CA4"/>
    <w:rsid w:val="00652F67"/>
    <w:rsid w:val="00655A8C"/>
    <w:rsid w:val="0065626C"/>
    <w:rsid w:val="00656AF4"/>
    <w:rsid w:val="0065732A"/>
    <w:rsid w:val="0066273C"/>
    <w:rsid w:val="00662B55"/>
    <w:rsid w:val="00663603"/>
    <w:rsid w:val="006643AC"/>
    <w:rsid w:val="00666982"/>
    <w:rsid w:val="00672F02"/>
    <w:rsid w:val="00675479"/>
    <w:rsid w:val="00677B90"/>
    <w:rsid w:val="006818D7"/>
    <w:rsid w:val="00681C71"/>
    <w:rsid w:val="006827E5"/>
    <w:rsid w:val="00685F74"/>
    <w:rsid w:val="00686D86"/>
    <w:rsid w:val="006878C8"/>
    <w:rsid w:val="006944FD"/>
    <w:rsid w:val="00694C11"/>
    <w:rsid w:val="00696822"/>
    <w:rsid w:val="006A02E4"/>
    <w:rsid w:val="006A1829"/>
    <w:rsid w:val="006A2702"/>
    <w:rsid w:val="006A40DA"/>
    <w:rsid w:val="006A627A"/>
    <w:rsid w:val="006B1519"/>
    <w:rsid w:val="006B6308"/>
    <w:rsid w:val="006B6C1A"/>
    <w:rsid w:val="006C4AAD"/>
    <w:rsid w:val="006C78FD"/>
    <w:rsid w:val="006C7DA7"/>
    <w:rsid w:val="006D02F7"/>
    <w:rsid w:val="006D0352"/>
    <w:rsid w:val="006D11D8"/>
    <w:rsid w:val="006D2D5B"/>
    <w:rsid w:val="006D4D8E"/>
    <w:rsid w:val="006D6384"/>
    <w:rsid w:val="006E1812"/>
    <w:rsid w:val="006E4E1C"/>
    <w:rsid w:val="006E536A"/>
    <w:rsid w:val="006E7834"/>
    <w:rsid w:val="006F0CAE"/>
    <w:rsid w:val="006F0CD8"/>
    <w:rsid w:val="006F2BCE"/>
    <w:rsid w:val="006F703D"/>
    <w:rsid w:val="006F757B"/>
    <w:rsid w:val="006F7628"/>
    <w:rsid w:val="0070230C"/>
    <w:rsid w:val="0070243B"/>
    <w:rsid w:val="00703AB4"/>
    <w:rsid w:val="0070741B"/>
    <w:rsid w:val="00707954"/>
    <w:rsid w:val="007158EC"/>
    <w:rsid w:val="00716228"/>
    <w:rsid w:val="00721BCD"/>
    <w:rsid w:val="00721F57"/>
    <w:rsid w:val="007255A2"/>
    <w:rsid w:val="00726984"/>
    <w:rsid w:val="00727A00"/>
    <w:rsid w:val="00730CDB"/>
    <w:rsid w:val="00731248"/>
    <w:rsid w:val="00734044"/>
    <w:rsid w:val="00734DA4"/>
    <w:rsid w:val="007368E2"/>
    <w:rsid w:val="0074413E"/>
    <w:rsid w:val="00744713"/>
    <w:rsid w:val="00744E58"/>
    <w:rsid w:val="00747B3C"/>
    <w:rsid w:val="00750803"/>
    <w:rsid w:val="00750A25"/>
    <w:rsid w:val="00750B66"/>
    <w:rsid w:val="007517E7"/>
    <w:rsid w:val="00752B81"/>
    <w:rsid w:val="00754535"/>
    <w:rsid w:val="00755286"/>
    <w:rsid w:val="0075568A"/>
    <w:rsid w:val="00757BCF"/>
    <w:rsid w:val="00760A6E"/>
    <w:rsid w:val="00761EAF"/>
    <w:rsid w:val="00763D3B"/>
    <w:rsid w:val="00765E1E"/>
    <w:rsid w:val="00765F4E"/>
    <w:rsid w:val="00775781"/>
    <w:rsid w:val="007757D1"/>
    <w:rsid w:val="00780152"/>
    <w:rsid w:val="00780D4F"/>
    <w:rsid w:val="00782952"/>
    <w:rsid w:val="00782E18"/>
    <w:rsid w:val="00783818"/>
    <w:rsid w:val="0078498D"/>
    <w:rsid w:val="007852B8"/>
    <w:rsid w:val="007860A2"/>
    <w:rsid w:val="007879C6"/>
    <w:rsid w:val="00790C96"/>
    <w:rsid w:val="007918D8"/>
    <w:rsid w:val="007960AC"/>
    <w:rsid w:val="00796DFB"/>
    <w:rsid w:val="007973F7"/>
    <w:rsid w:val="007A2797"/>
    <w:rsid w:val="007A3915"/>
    <w:rsid w:val="007A43AB"/>
    <w:rsid w:val="007B1021"/>
    <w:rsid w:val="007B2B0C"/>
    <w:rsid w:val="007C08A5"/>
    <w:rsid w:val="007C1129"/>
    <w:rsid w:val="007C563D"/>
    <w:rsid w:val="007D0278"/>
    <w:rsid w:val="007D033C"/>
    <w:rsid w:val="007D1AA0"/>
    <w:rsid w:val="007D4165"/>
    <w:rsid w:val="007D4357"/>
    <w:rsid w:val="007D5EE7"/>
    <w:rsid w:val="007D7417"/>
    <w:rsid w:val="007E204D"/>
    <w:rsid w:val="007E29CE"/>
    <w:rsid w:val="007E44FE"/>
    <w:rsid w:val="007F0523"/>
    <w:rsid w:val="007F52A0"/>
    <w:rsid w:val="007F74C2"/>
    <w:rsid w:val="007F7518"/>
    <w:rsid w:val="008027CA"/>
    <w:rsid w:val="00803F75"/>
    <w:rsid w:val="0080424A"/>
    <w:rsid w:val="0080640B"/>
    <w:rsid w:val="008072E6"/>
    <w:rsid w:val="008107EF"/>
    <w:rsid w:val="0081446E"/>
    <w:rsid w:val="00814F60"/>
    <w:rsid w:val="00817200"/>
    <w:rsid w:val="008175C2"/>
    <w:rsid w:val="00817D11"/>
    <w:rsid w:val="008254A1"/>
    <w:rsid w:val="0083066E"/>
    <w:rsid w:val="00830764"/>
    <w:rsid w:val="008319CC"/>
    <w:rsid w:val="00832EAA"/>
    <w:rsid w:val="00832F39"/>
    <w:rsid w:val="00834170"/>
    <w:rsid w:val="00834C36"/>
    <w:rsid w:val="00834FF1"/>
    <w:rsid w:val="00835884"/>
    <w:rsid w:val="00835C08"/>
    <w:rsid w:val="00835C7F"/>
    <w:rsid w:val="0084338E"/>
    <w:rsid w:val="008450B2"/>
    <w:rsid w:val="008511EC"/>
    <w:rsid w:val="008625AB"/>
    <w:rsid w:val="00862FE0"/>
    <w:rsid w:val="00866C0D"/>
    <w:rsid w:val="00870FF6"/>
    <w:rsid w:val="008734F7"/>
    <w:rsid w:val="00873F60"/>
    <w:rsid w:val="00880C2A"/>
    <w:rsid w:val="00880F62"/>
    <w:rsid w:val="00881CE3"/>
    <w:rsid w:val="00886F9E"/>
    <w:rsid w:val="00892003"/>
    <w:rsid w:val="00893D12"/>
    <w:rsid w:val="008942EC"/>
    <w:rsid w:val="00894419"/>
    <w:rsid w:val="0089608E"/>
    <w:rsid w:val="00896608"/>
    <w:rsid w:val="00896DD9"/>
    <w:rsid w:val="008A16D9"/>
    <w:rsid w:val="008A27A6"/>
    <w:rsid w:val="008A3BAA"/>
    <w:rsid w:val="008B01D8"/>
    <w:rsid w:val="008B14FB"/>
    <w:rsid w:val="008B2B48"/>
    <w:rsid w:val="008B33D3"/>
    <w:rsid w:val="008B6EDA"/>
    <w:rsid w:val="008C19E3"/>
    <w:rsid w:val="008C23CA"/>
    <w:rsid w:val="008C7931"/>
    <w:rsid w:val="008D069A"/>
    <w:rsid w:val="008D5475"/>
    <w:rsid w:val="008D583E"/>
    <w:rsid w:val="008D612B"/>
    <w:rsid w:val="008D62C3"/>
    <w:rsid w:val="008D7C34"/>
    <w:rsid w:val="008E166C"/>
    <w:rsid w:val="008E2CAF"/>
    <w:rsid w:val="008E3B59"/>
    <w:rsid w:val="008E4656"/>
    <w:rsid w:val="008E612A"/>
    <w:rsid w:val="008E6BBC"/>
    <w:rsid w:val="008F0892"/>
    <w:rsid w:val="008F2E70"/>
    <w:rsid w:val="008F302E"/>
    <w:rsid w:val="008F591F"/>
    <w:rsid w:val="008F5B15"/>
    <w:rsid w:val="008F6745"/>
    <w:rsid w:val="009011E1"/>
    <w:rsid w:val="0090121D"/>
    <w:rsid w:val="00904D0C"/>
    <w:rsid w:val="009064A2"/>
    <w:rsid w:val="0090690B"/>
    <w:rsid w:val="00907178"/>
    <w:rsid w:val="00907618"/>
    <w:rsid w:val="00907863"/>
    <w:rsid w:val="00912E90"/>
    <w:rsid w:val="00917961"/>
    <w:rsid w:val="00920B77"/>
    <w:rsid w:val="0092102C"/>
    <w:rsid w:val="00921144"/>
    <w:rsid w:val="00923B01"/>
    <w:rsid w:val="00924775"/>
    <w:rsid w:val="0092531D"/>
    <w:rsid w:val="00926C9E"/>
    <w:rsid w:val="00930ABC"/>
    <w:rsid w:val="00930E8B"/>
    <w:rsid w:val="00930F3E"/>
    <w:rsid w:val="00931F59"/>
    <w:rsid w:val="0093309D"/>
    <w:rsid w:val="00933925"/>
    <w:rsid w:val="00933BA4"/>
    <w:rsid w:val="009355D6"/>
    <w:rsid w:val="00937543"/>
    <w:rsid w:val="009375EA"/>
    <w:rsid w:val="009422B3"/>
    <w:rsid w:val="00943593"/>
    <w:rsid w:val="00943B47"/>
    <w:rsid w:val="009442E5"/>
    <w:rsid w:val="00944FBE"/>
    <w:rsid w:val="00945552"/>
    <w:rsid w:val="00954D6A"/>
    <w:rsid w:val="00955403"/>
    <w:rsid w:val="0096163B"/>
    <w:rsid w:val="009618AC"/>
    <w:rsid w:val="009627BB"/>
    <w:rsid w:val="00963A9D"/>
    <w:rsid w:val="00966E7A"/>
    <w:rsid w:val="00967469"/>
    <w:rsid w:val="00971423"/>
    <w:rsid w:val="009756E9"/>
    <w:rsid w:val="00975789"/>
    <w:rsid w:val="009765B8"/>
    <w:rsid w:val="009778DD"/>
    <w:rsid w:val="009800BF"/>
    <w:rsid w:val="00982CF2"/>
    <w:rsid w:val="0098543D"/>
    <w:rsid w:val="009859BB"/>
    <w:rsid w:val="00987794"/>
    <w:rsid w:val="009900E6"/>
    <w:rsid w:val="00991226"/>
    <w:rsid w:val="00991829"/>
    <w:rsid w:val="00992A9E"/>
    <w:rsid w:val="00993144"/>
    <w:rsid w:val="00996495"/>
    <w:rsid w:val="00997DBF"/>
    <w:rsid w:val="009A02BC"/>
    <w:rsid w:val="009A5B64"/>
    <w:rsid w:val="009B5BAF"/>
    <w:rsid w:val="009B5D4D"/>
    <w:rsid w:val="009B654B"/>
    <w:rsid w:val="009B6D74"/>
    <w:rsid w:val="009C04A0"/>
    <w:rsid w:val="009C1663"/>
    <w:rsid w:val="009C2F4F"/>
    <w:rsid w:val="009C3469"/>
    <w:rsid w:val="009C451E"/>
    <w:rsid w:val="009D35F0"/>
    <w:rsid w:val="009D3D85"/>
    <w:rsid w:val="009D6DBD"/>
    <w:rsid w:val="009E1F27"/>
    <w:rsid w:val="009E1FDF"/>
    <w:rsid w:val="009E4454"/>
    <w:rsid w:val="009E78EC"/>
    <w:rsid w:val="009E7A56"/>
    <w:rsid w:val="009F082D"/>
    <w:rsid w:val="009F0D2F"/>
    <w:rsid w:val="009F1E88"/>
    <w:rsid w:val="009F2896"/>
    <w:rsid w:val="009F2C84"/>
    <w:rsid w:val="009F35D6"/>
    <w:rsid w:val="009F4F55"/>
    <w:rsid w:val="00A00F71"/>
    <w:rsid w:val="00A01036"/>
    <w:rsid w:val="00A038EE"/>
    <w:rsid w:val="00A03F23"/>
    <w:rsid w:val="00A046DE"/>
    <w:rsid w:val="00A04915"/>
    <w:rsid w:val="00A06ADE"/>
    <w:rsid w:val="00A10899"/>
    <w:rsid w:val="00A1190F"/>
    <w:rsid w:val="00A12E94"/>
    <w:rsid w:val="00A17187"/>
    <w:rsid w:val="00A176C5"/>
    <w:rsid w:val="00A17AB6"/>
    <w:rsid w:val="00A17D4A"/>
    <w:rsid w:val="00A21A6A"/>
    <w:rsid w:val="00A21B33"/>
    <w:rsid w:val="00A22695"/>
    <w:rsid w:val="00A254C7"/>
    <w:rsid w:val="00A26150"/>
    <w:rsid w:val="00A304AB"/>
    <w:rsid w:val="00A317B8"/>
    <w:rsid w:val="00A331B6"/>
    <w:rsid w:val="00A361F7"/>
    <w:rsid w:val="00A3693E"/>
    <w:rsid w:val="00A4146A"/>
    <w:rsid w:val="00A43092"/>
    <w:rsid w:val="00A44388"/>
    <w:rsid w:val="00A52120"/>
    <w:rsid w:val="00A52903"/>
    <w:rsid w:val="00A53418"/>
    <w:rsid w:val="00A53E24"/>
    <w:rsid w:val="00A54BE0"/>
    <w:rsid w:val="00A63A70"/>
    <w:rsid w:val="00A66162"/>
    <w:rsid w:val="00A665BF"/>
    <w:rsid w:val="00A674DF"/>
    <w:rsid w:val="00A80C9D"/>
    <w:rsid w:val="00A80D19"/>
    <w:rsid w:val="00A82BE3"/>
    <w:rsid w:val="00A86296"/>
    <w:rsid w:val="00A864E4"/>
    <w:rsid w:val="00A87414"/>
    <w:rsid w:val="00A90851"/>
    <w:rsid w:val="00A90D18"/>
    <w:rsid w:val="00A977BA"/>
    <w:rsid w:val="00AA1CE0"/>
    <w:rsid w:val="00AA2F96"/>
    <w:rsid w:val="00AA6BCA"/>
    <w:rsid w:val="00AA7151"/>
    <w:rsid w:val="00AB20B2"/>
    <w:rsid w:val="00AB4277"/>
    <w:rsid w:val="00AB623A"/>
    <w:rsid w:val="00AB6B0B"/>
    <w:rsid w:val="00AC2BEB"/>
    <w:rsid w:val="00AC4253"/>
    <w:rsid w:val="00AD25EA"/>
    <w:rsid w:val="00AD6BC7"/>
    <w:rsid w:val="00AE03F3"/>
    <w:rsid w:val="00AE2510"/>
    <w:rsid w:val="00AE59EA"/>
    <w:rsid w:val="00AE6945"/>
    <w:rsid w:val="00AE6DD8"/>
    <w:rsid w:val="00AE7567"/>
    <w:rsid w:val="00AE7680"/>
    <w:rsid w:val="00AE7BF6"/>
    <w:rsid w:val="00AF0BF6"/>
    <w:rsid w:val="00AF2E73"/>
    <w:rsid w:val="00AF425E"/>
    <w:rsid w:val="00AF6BD7"/>
    <w:rsid w:val="00AF6D01"/>
    <w:rsid w:val="00AF7809"/>
    <w:rsid w:val="00B025EF"/>
    <w:rsid w:val="00B02B30"/>
    <w:rsid w:val="00B02CCD"/>
    <w:rsid w:val="00B038CC"/>
    <w:rsid w:val="00B03A23"/>
    <w:rsid w:val="00B03C83"/>
    <w:rsid w:val="00B03DFD"/>
    <w:rsid w:val="00B041B8"/>
    <w:rsid w:val="00B07113"/>
    <w:rsid w:val="00B07695"/>
    <w:rsid w:val="00B07DE8"/>
    <w:rsid w:val="00B07F22"/>
    <w:rsid w:val="00B12734"/>
    <w:rsid w:val="00B14914"/>
    <w:rsid w:val="00B20551"/>
    <w:rsid w:val="00B2109F"/>
    <w:rsid w:val="00B22903"/>
    <w:rsid w:val="00B22BB0"/>
    <w:rsid w:val="00B27A27"/>
    <w:rsid w:val="00B27BFC"/>
    <w:rsid w:val="00B31C76"/>
    <w:rsid w:val="00B323E6"/>
    <w:rsid w:val="00B32693"/>
    <w:rsid w:val="00B33834"/>
    <w:rsid w:val="00B35B02"/>
    <w:rsid w:val="00B36CE0"/>
    <w:rsid w:val="00B3707A"/>
    <w:rsid w:val="00B375EB"/>
    <w:rsid w:val="00B37A20"/>
    <w:rsid w:val="00B42140"/>
    <w:rsid w:val="00B42278"/>
    <w:rsid w:val="00B423FD"/>
    <w:rsid w:val="00B433D3"/>
    <w:rsid w:val="00B4403F"/>
    <w:rsid w:val="00B450CA"/>
    <w:rsid w:val="00B47169"/>
    <w:rsid w:val="00B501F2"/>
    <w:rsid w:val="00B50319"/>
    <w:rsid w:val="00B51B9C"/>
    <w:rsid w:val="00B52DCD"/>
    <w:rsid w:val="00B560B5"/>
    <w:rsid w:val="00B56D53"/>
    <w:rsid w:val="00B5768B"/>
    <w:rsid w:val="00B57ECE"/>
    <w:rsid w:val="00B6020E"/>
    <w:rsid w:val="00B63E2A"/>
    <w:rsid w:val="00B659F4"/>
    <w:rsid w:val="00B66FE3"/>
    <w:rsid w:val="00B67725"/>
    <w:rsid w:val="00B7065E"/>
    <w:rsid w:val="00B70E11"/>
    <w:rsid w:val="00B718E5"/>
    <w:rsid w:val="00B71DE8"/>
    <w:rsid w:val="00B750F3"/>
    <w:rsid w:val="00B77CAE"/>
    <w:rsid w:val="00B840AA"/>
    <w:rsid w:val="00B908F3"/>
    <w:rsid w:val="00B91B4C"/>
    <w:rsid w:val="00B92C1D"/>
    <w:rsid w:val="00B935E2"/>
    <w:rsid w:val="00B93E3A"/>
    <w:rsid w:val="00B95642"/>
    <w:rsid w:val="00B956BB"/>
    <w:rsid w:val="00B9588C"/>
    <w:rsid w:val="00BA0A1C"/>
    <w:rsid w:val="00BA0EDF"/>
    <w:rsid w:val="00BA15BD"/>
    <w:rsid w:val="00BA1A16"/>
    <w:rsid w:val="00BA1D58"/>
    <w:rsid w:val="00BA1E64"/>
    <w:rsid w:val="00BA30AD"/>
    <w:rsid w:val="00BA3CFC"/>
    <w:rsid w:val="00BB1885"/>
    <w:rsid w:val="00BB1C3B"/>
    <w:rsid w:val="00BB359C"/>
    <w:rsid w:val="00BB3A5C"/>
    <w:rsid w:val="00BB65C3"/>
    <w:rsid w:val="00BB688B"/>
    <w:rsid w:val="00BB7BE5"/>
    <w:rsid w:val="00BC0079"/>
    <w:rsid w:val="00BC426B"/>
    <w:rsid w:val="00BC4C30"/>
    <w:rsid w:val="00BC7074"/>
    <w:rsid w:val="00BD2353"/>
    <w:rsid w:val="00BD3287"/>
    <w:rsid w:val="00BD673A"/>
    <w:rsid w:val="00BE1E62"/>
    <w:rsid w:val="00BE3E87"/>
    <w:rsid w:val="00BE520B"/>
    <w:rsid w:val="00BE57DA"/>
    <w:rsid w:val="00BF1DB8"/>
    <w:rsid w:val="00BF1F3C"/>
    <w:rsid w:val="00BF370C"/>
    <w:rsid w:val="00BF50F4"/>
    <w:rsid w:val="00BF629D"/>
    <w:rsid w:val="00BF6D3B"/>
    <w:rsid w:val="00BF73CC"/>
    <w:rsid w:val="00C009AD"/>
    <w:rsid w:val="00C01B0F"/>
    <w:rsid w:val="00C024D6"/>
    <w:rsid w:val="00C0363E"/>
    <w:rsid w:val="00C03DF6"/>
    <w:rsid w:val="00C07CF0"/>
    <w:rsid w:val="00C10317"/>
    <w:rsid w:val="00C10A00"/>
    <w:rsid w:val="00C1119E"/>
    <w:rsid w:val="00C1371F"/>
    <w:rsid w:val="00C13F15"/>
    <w:rsid w:val="00C14226"/>
    <w:rsid w:val="00C14544"/>
    <w:rsid w:val="00C15B78"/>
    <w:rsid w:val="00C16987"/>
    <w:rsid w:val="00C178F8"/>
    <w:rsid w:val="00C17B1D"/>
    <w:rsid w:val="00C17B80"/>
    <w:rsid w:val="00C2067F"/>
    <w:rsid w:val="00C20880"/>
    <w:rsid w:val="00C2289B"/>
    <w:rsid w:val="00C23DD3"/>
    <w:rsid w:val="00C31265"/>
    <w:rsid w:val="00C365E8"/>
    <w:rsid w:val="00C36E8C"/>
    <w:rsid w:val="00C420D9"/>
    <w:rsid w:val="00C42C5F"/>
    <w:rsid w:val="00C46CFA"/>
    <w:rsid w:val="00C51A8B"/>
    <w:rsid w:val="00C524DA"/>
    <w:rsid w:val="00C552AC"/>
    <w:rsid w:val="00C55B3E"/>
    <w:rsid w:val="00C57D19"/>
    <w:rsid w:val="00C61323"/>
    <w:rsid w:val="00C62DB1"/>
    <w:rsid w:val="00C633AF"/>
    <w:rsid w:val="00C64459"/>
    <w:rsid w:val="00C66272"/>
    <w:rsid w:val="00C71DB8"/>
    <w:rsid w:val="00C72FEF"/>
    <w:rsid w:val="00C73701"/>
    <w:rsid w:val="00C74B6F"/>
    <w:rsid w:val="00C7703B"/>
    <w:rsid w:val="00C77B30"/>
    <w:rsid w:val="00C80016"/>
    <w:rsid w:val="00C8244E"/>
    <w:rsid w:val="00C83124"/>
    <w:rsid w:val="00C84C1B"/>
    <w:rsid w:val="00C85C74"/>
    <w:rsid w:val="00C87052"/>
    <w:rsid w:val="00C876D8"/>
    <w:rsid w:val="00C93B14"/>
    <w:rsid w:val="00C945BB"/>
    <w:rsid w:val="00CA0382"/>
    <w:rsid w:val="00CA14E3"/>
    <w:rsid w:val="00CA3822"/>
    <w:rsid w:val="00CA448A"/>
    <w:rsid w:val="00CA56F2"/>
    <w:rsid w:val="00CA6D6C"/>
    <w:rsid w:val="00CB04A4"/>
    <w:rsid w:val="00CB25CA"/>
    <w:rsid w:val="00CB2CC2"/>
    <w:rsid w:val="00CC4A44"/>
    <w:rsid w:val="00CC4A90"/>
    <w:rsid w:val="00CC5931"/>
    <w:rsid w:val="00CC5BB5"/>
    <w:rsid w:val="00CC7064"/>
    <w:rsid w:val="00CD47D6"/>
    <w:rsid w:val="00CD5A45"/>
    <w:rsid w:val="00CE0D24"/>
    <w:rsid w:val="00CE1684"/>
    <w:rsid w:val="00CE257C"/>
    <w:rsid w:val="00CE297E"/>
    <w:rsid w:val="00CE4258"/>
    <w:rsid w:val="00CE4580"/>
    <w:rsid w:val="00CE6041"/>
    <w:rsid w:val="00CF1061"/>
    <w:rsid w:val="00CF307D"/>
    <w:rsid w:val="00CF7437"/>
    <w:rsid w:val="00D00975"/>
    <w:rsid w:val="00D02C25"/>
    <w:rsid w:val="00D02DDA"/>
    <w:rsid w:val="00D030DF"/>
    <w:rsid w:val="00D039DD"/>
    <w:rsid w:val="00D03A07"/>
    <w:rsid w:val="00D04544"/>
    <w:rsid w:val="00D057BF"/>
    <w:rsid w:val="00D06CA8"/>
    <w:rsid w:val="00D06CD4"/>
    <w:rsid w:val="00D1220E"/>
    <w:rsid w:val="00D20C5A"/>
    <w:rsid w:val="00D241DE"/>
    <w:rsid w:val="00D30034"/>
    <w:rsid w:val="00D31AA3"/>
    <w:rsid w:val="00D32719"/>
    <w:rsid w:val="00D3409A"/>
    <w:rsid w:val="00D34894"/>
    <w:rsid w:val="00D3499A"/>
    <w:rsid w:val="00D349BE"/>
    <w:rsid w:val="00D34CCD"/>
    <w:rsid w:val="00D351AE"/>
    <w:rsid w:val="00D37DDA"/>
    <w:rsid w:val="00D408B5"/>
    <w:rsid w:val="00D41CF2"/>
    <w:rsid w:val="00D42325"/>
    <w:rsid w:val="00D42C80"/>
    <w:rsid w:val="00D44BAF"/>
    <w:rsid w:val="00D454DD"/>
    <w:rsid w:val="00D4661D"/>
    <w:rsid w:val="00D51640"/>
    <w:rsid w:val="00D51E35"/>
    <w:rsid w:val="00D5237C"/>
    <w:rsid w:val="00D54BE3"/>
    <w:rsid w:val="00D576CC"/>
    <w:rsid w:val="00D60A79"/>
    <w:rsid w:val="00D61243"/>
    <w:rsid w:val="00D61CEA"/>
    <w:rsid w:val="00D63748"/>
    <w:rsid w:val="00D65E98"/>
    <w:rsid w:val="00D67196"/>
    <w:rsid w:val="00D702D8"/>
    <w:rsid w:val="00D7137D"/>
    <w:rsid w:val="00D71516"/>
    <w:rsid w:val="00D72A11"/>
    <w:rsid w:val="00D7332D"/>
    <w:rsid w:val="00D748CB"/>
    <w:rsid w:val="00D74E5A"/>
    <w:rsid w:val="00D81290"/>
    <w:rsid w:val="00D827AC"/>
    <w:rsid w:val="00D831A7"/>
    <w:rsid w:val="00D84B14"/>
    <w:rsid w:val="00D84FA2"/>
    <w:rsid w:val="00D857A9"/>
    <w:rsid w:val="00D86073"/>
    <w:rsid w:val="00D8673C"/>
    <w:rsid w:val="00D93FE9"/>
    <w:rsid w:val="00D95728"/>
    <w:rsid w:val="00D95E0C"/>
    <w:rsid w:val="00D96331"/>
    <w:rsid w:val="00D97D59"/>
    <w:rsid w:val="00DA210B"/>
    <w:rsid w:val="00DA3D95"/>
    <w:rsid w:val="00DA5E65"/>
    <w:rsid w:val="00DA7D61"/>
    <w:rsid w:val="00DB15B2"/>
    <w:rsid w:val="00DB21C8"/>
    <w:rsid w:val="00DB40BD"/>
    <w:rsid w:val="00DC4B0F"/>
    <w:rsid w:val="00DD04EF"/>
    <w:rsid w:val="00DD3E9E"/>
    <w:rsid w:val="00DD4708"/>
    <w:rsid w:val="00DD5368"/>
    <w:rsid w:val="00DD717E"/>
    <w:rsid w:val="00DE02CB"/>
    <w:rsid w:val="00DE335C"/>
    <w:rsid w:val="00DF2DD8"/>
    <w:rsid w:val="00DF43AD"/>
    <w:rsid w:val="00E0261E"/>
    <w:rsid w:val="00E034EC"/>
    <w:rsid w:val="00E05D7B"/>
    <w:rsid w:val="00E0774B"/>
    <w:rsid w:val="00E11E29"/>
    <w:rsid w:val="00E15C57"/>
    <w:rsid w:val="00E1600B"/>
    <w:rsid w:val="00E206BD"/>
    <w:rsid w:val="00E21B7B"/>
    <w:rsid w:val="00E24D3C"/>
    <w:rsid w:val="00E2554A"/>
    <w:rsid w:val="00E26E27"/>
    <w:rsid w:val="00E30E73"/>
    <w:rsid w:val="00E32C3F"/>
    <w:rsid w:val="00E355A1"/>
    <w:rsid w:val="00E35EC8"/>
    <w:rsid w:val="00E367D3"/>
    <w:rsid w:val="00E375B9"/>
    <w:rsid w:val="00E433F1"/>
    <w:rsid w:val="00E44E23"/>
    <w:rsid w:val="00E52513"/>
    <w:rsid w:val="00E52B82"/>
    <w:rsid w:val="00E53556"/>
    <w:rsid w:val="00E55777"/>
    <w:rsid w:val="00E5797A"/>
    <w:rsid w:val="00E61006"/>
    <w:rsid w:val="00E61974"/>
    <w:rsid w:val="00E62603"/>
    <w:rsid w:val="00E644D4"/>
    <w:rsid w:val="00E65C12"/>
    <w:rsid w:val="00E665B4"/>
    <w:rsid w:val="00E67177"/>
    <w:rsid w:val="00E701E7"/>
    <w:rsid w:val="00E705C0"/>
    <w:rsid w:val="00E722A4"/>
    <w:rsid w:val="00E75CE5"/>
    <w:rsid w:val="00E769CC"/>
    <w:rsid w:val="00E76AF6"/>
    <w:rsid w:val="00E77989"/>
    <w:rsid w:val="00E80BD8"/>
    <w:rsid w:val="00E84F21"/>
    <w:rsid w:val="00EA0C3C"/>
    <w:rsid w:val="00EA21E0"/>
    <w:rsid w:val="00EA23AC"/>
    <w:rsid w:val="00EA49D0"/>
    <w:rsid w:val="00EA583F"/>
    <w:rsid w:val="00EB1B80"/>
    <w:rsid w:val="00EB2DA7"/>
    <w:rsid w:val="00EB6A02"/>
    <w:rsid w:val="00EB6F3D"/>
    <w:rsid w:val="00EB7829"/>
    <w:rsid w:val="00EB79A8"/>
    <w:rsid w:val="00EC0118"/>
    <w:rsid w:val="00EC214E"/>
    <w:rsid w:val="00EC2FCD"/>
    <w:rsid w:val="00EC300D"/>
    <w:rsid w:val="00EC7C23"/>
    <w:rsid w:val="00ED343C"/>
    <w:rsid w:val="00ED4960"/>
    <w:rsid w:val="00ED509A"/>
    <w:rsid w:val="00ED59A6"/>
    <w:rsid w:val="00EE0F97"/>
    <w:rsid w:val="00EE2652"/>
    <w:rsid w:val="00EF01A9"/>
    <w:rsid w:val="00EF08B6"/>
    <w:rsid w:val="00EF1281"/>
    <w:rsid w:val="00EF2554"/>
    <w:rsid w:val="00EF25BE"/>
    <w:rsid w:val="00EF2752"/>
    <w:rsid w:val="00EF2EA0"/>
    <w:rsid w:val="00EF4055"/>
    <w:rsid w:val="00EF58A6"/>
    <w:rsid w:val="00EF5E67"/>
    <w:rsid w:val="00F11CC5"/>
    <w:rsid w:val="00F12ED3"/>
    <w:rsid w:val="00F13FCB"/>
    <w:rsid w:val="00F15E48"/>
    <w:rsid w:val="00F1650C"/>
    <w:rsid w:val="00F176BF"/>
    <w:rsid w:val="00F20862"/>
    <w:rsid w:val="00F235F4"/>
    <w:rsid w:val="00F2730F"/>
    <w:rsid w:val="00F3115B"/>
    <w:rsid w:val="00F33073"/>
    <w:rsid w:val="00F341F8"/>
    <w:rsid w:val="00F37BD7"/>
    <w:rsid w:val="00F44028"/>
    <w:rsid w:val="00F4698B"/>
    <w:rsid w:val="00F50329"/>
    <w:rsid w:val="00F5614D"/>
    <w:rsid w:val="00F564E1"/>
    <w:rsid w:val="00F567E4"/>
    <w:rsid w:val="00F70C19"/>
    <w:rsid w:val="00F71173"/>
    <w:rsid w:val="00F71D7B"/>
    <w:rsid w:val="00F73ABC"/>
    <w:rsid w:val="00F76974"/>
    <w:rsid w:val="00F76AA4"/>
    <w:rsid w:val="00F771AE"/>
    <w:rsid w:val="00F806AF"/>
    <w:rsid w:val="00F84FBC"/>
    <w:rsid w:val="00F85A1C"/>
    <w:rsid w:val="00F92B87"/>
    <w:rsid w:val="00F92B88"/>
    <w:rsid w:val="00F93183"/>
    <w:rsid w:val="00F94108"/>
    <w:rsid w:val="00F96FD5"/>
    <w:rsid w:val="00FA2E2D"/>
    <w:rsid w:val="00FA337C"/>
    <w:rsid w:val="00FA3EDA"/>
    <w:rsid w:val="00FA5EEC"/>
    <w:rsid w:val="00FA5EF6"/>
    <w:rsid w:val="00FA6A7C"/>
    <w:rsid w:val="00FA76D4"/>
    <w:rsid w:val="00FB07B5"/>
    <w:rsid w:val="00FB0CE1"/>
    <w:rsid w:val="00FB0F63"/>
    <w:rsid w:val="00FB3393"/>
    <w:rsid w:val="00FB75D8"/>
    <w:rsid w:val="00FC021B"/>
    <w:rsid w:val="00FC0E9B"/>
    <w:rsid w:val="00FC26BD"/>
    <w:rsid w:val="00FC2DC8"/>
    <w:rsid w:val="00FC3788"/>
    <w:rsid w:val="00FC3F3D"/>
    <w:rsid w:val="00FC4335"/>
    <w:rsid w:val="00FC442B"/>
    <w:rsid w:val="00FC447F"/>
    <w:rsid w:val="00FC53CD"/>
    <w:rsid w:val="00FC6827"/>
    <w:rsid w:val="00FD06B9"/>
    <w:rsid w:val="00FD1637"/>
    <w:rsid w:val="00FD20DE"/>
    <w:rsid w:val="00FD2D5D"/>
    <w:rsid w:val="00FD6902"/>
    <w:rsid w:val="00FE2701"/>
    <w:rsid w:val="00FE4EC8"/>
    <w:rsid w:val="00FE5261"/>
    <w:rsid w:val="00FE5E93"/>
    <w:rsid w:val="00FE6BBC"/>
    <w:rsid w:val="00FF505B"/>
    <w:rsid w:val="00FF6A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AU" w:eastAsia="en-A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nhideWhenUsed="0"/>
    <w:lsdException w:name="annotation text" w:locked="1" w:semiHidden="0" w:uiPriority="0" w:unhideWhenUsed="0"/>
    <w:lsdException w:name="caption" w:locked="1" w:uiPriority="0" w:qFormat="1"/>
    <w:lsdException w:name="footnote reference" w:locked="1" w:semiHidden="0" w:uiPriority="0" w:unhideWhenUsed="0"/>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62C3"/>
    <w:pPr>
      <w:spacing w:after="200" w:line="360" w:lineRule="auto"/>
    </w:pPr>
    <w:rPr>
      <w:rFonts w:asciiTheme="majorHAnsi" w:hAnsiTheme="majorHAnsi" w:cstheme="minorHAnsi"/>
      <w:sz w:val="24"/>
      <w:szCs w:val="24"/>
      <w:lang w:val="en-US" w:eastAsia="en-US"/>
    </w:rPr>
  </w:style>
  <w:style w:type="paragraph" w:styleId="Heading1">
    <w:name w:val="heading 1"/>
    <w:basedOn w:val="Normal"/>
    <w:next w:val="Normal"/>
    <w:link w:val="Heading1Char"/>
    <w:uiPriority w:val="9"/>
    <w:qFormat/>
    <w:locked/>
    <w:rsid w:val="00C10317"/>
    <w:pPr>
      <w:keepNext/>
      <w:keepLines/>
      <w:spacing w:before="480" w:after="0"/>
      <w:outlineLvl w:val="0"/>
    </w:pPr>
    <w:rPr>
      <w:rFonts w:eastAsiaTheme="majorEastAsia" w:cstheme="majorBidi"/>
      <w:b/>
      <w:bCs/>
      <w:color w:val="365F91" w:themeColor="accent1" w:themeShade="BF"/>
      <w:sz w:val="28"/>
      <w:szCs w:val="28"/>
      <w:lang w:val="en-AU"/>
    </w:rPr>
  </w:style>
  <w:style w:type="paragraph" w:styleId="Heading3">
    <w:name w:val="heading 3"/>
    <w:basedOn w:val="Normal"/>
    <w:link w:val="Heading3Char"/>
    <w:uiPriority w:val="9"/>
    <w:qFormat/>
    <w:locked/>
    <w:rsid w:val="00E55777"/>
    <w:pPr>
      <w:spacing w:after="0" w:line="240" w:lineRule="auto"/>
      <w:outlineLvl w:val="2"/>
    </w:pPr>
    <w:rPr>
      <w:rFonts w:ascii="Times New Roman" w:eastAsia="Times New Roman" w:hAnsi="Times New Roman"/>
      <w:b/>
      <w:bCs/>
      <w:color w:val="30303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731248"/>
    <w:pPr>
      <w:spacing w:after="0" w:line="240" w:lineRule="auto"/>
    </w:pPr>
    <w:rPr>
      <w:sz w:val="20"/>
      <w:szCs w:val="20"/>
    </w:rPr>
  </w:style>
  <w:style w:type="character" w:customStyle="1" w:styleId="FootnoteTextChar">
    <w:name w:val="Footnote Text Char"/>
    <w:basedOn w:val="DefaultParagraphFont"/>
    <w:link w:val="FootnoteText"/>
    <w:uiPriority w:val="99"/>
    <w:locked/>
    <w:rsid w:val="00731248"/>
    <w:rPr>
      <w:rFonts w:cs="Times New Roman"/>
      <w:sz w:val="20"/>
      <w:szCs w:val="20"/>
    </w:rPr>
  </w:style>
  <w:style w:type="character" w:styleId="FootnoteReference">
    <w:name w:val="footnote reference"/>
    <w:aliases w:val="4_G"/>
    <w:basedOn w:val="DefaultParagraphFont"/>
    <w:rsid w:val="00731248"/>
    <w:rPr>
      <w:rFonts w:cs="Times New Roman"/>
      <w:vertAlign w:val="superscript"/>
    </w:rPr>
  </w:style>
  <w:style w:type="character" w:styleId="Hyperlink">
    <w:name w:val="Hyperlink"/>
    <w:basedOn w:val="DefaultParagraphFont"/>
    <w:uiPriority w:val="99"/>
    <w:rsid w:val="008450B2"/>
    <w:rPr>
      <w:rFonts w:cs="Times New Roman"/>
      <w:color w:val="0000FF"/>
      <w:u w:val="single"/>
    </w:rPr>
  </w:style>
  <w:style w:type="character" w:styleId="Strong">
    <w:name w:val="Strong"/>
    <w:basedOn w:val="DefaultParagraphFont"/>
    <w:uiPriority w:val="22"/>
    <w:qFormat/>
    <w:rsid w:val="008450B2"/>
    <w:rPr>
      <w:rFonts w:cs="Times New Roman"/>
      <w:b/>
      <w:bCs/>
    </w:rPr>
  </w:style>
  <w:style w:type="paragraph" w:styleId="ListParagraph">
    <w:name w:val="List Paragraph"/>
    <w:basedOn w:val="Normal"/>
    <w:uiPriority w:val="99"/>
    <w:qFormat/>
    <w:rsid w:val="00042DBC"/>
    <w:pPr>
      <w:ind w:left="720"/>
      <w:contextualSpacing/>
    </w:pPr>
  </w:style>
  <w:style w:type="character" w:styleId="CommentReference">
    <w:name w:val="annotation reference"/>
    <w:basedOn w:val="DefaultParagraphFont"/>
    <w:uiPriority w:val="99"/>
    <w:rsid w:val="00FC3F3D"/>
    <w:rPr>
      <w:rFonts w:cs="Times New Roman"/>
      <w:sz w:val="16"/>
      <w:szCs w:val="16"/>
    </w:rPr>
  </w:style>
  <w:style w:type="paragraph" w:styleId="CommentText">
    <w:name w:val="annotation text"/>
    <w:basedOn w:val="Normal"/>
    <w:link w:val="CommentTextChar"/>
    <w:uiPriority w:val="99"/>
    <w:rsid w:val="00FC3F3D"/>
    <w:pPr>
      <w:spacing w:after="0" w:line="240" w:lineRule="auto"/>
    </w:pPr>
    <w:rPr>
      <w:rFonts w:ascii="Times New Roman" w:eastAsia="Times New Roman" w:hAnsi="Times New Roman"/>
      <w:sz w:val="20"/>
      <w:szCs w:val="20"/>
      <w:lang w:val="en-AU"/>
    </w:rPr>
  </w:style>
  <w:style w:type="character" w:customStyle="1" w:styleId="CommentTextChar">
    <w:name w:val="Comment Text Char"/>
    <w:basedOn w:val="DefaultParagraphFont"/>
    <w:link w:val="CommentText"/>
    <w:uiPriority w:val="99"/>
    <w:locked/>
    <w:rsid w:val="00FC3F3D"/>
    <w:rPr>
      <w:rFonts w:ascii="Times New Roman" w:hAnsi="Times New Roman" w:cs="Times New Roman"/>
      <w:sz w:val="20"/>
      <w:szCs w:val="20"/>
      <w:lang w:val="en-AU"/>
    </w:rPr>
  </w:style>
  <w:style w:type="paragraph" w:styleId="BalloonText">
    <w:name w:val="Balloon Text"/>
    <w:basedOn w:val="Normal"/>
    <w:link w:val="BalloonTextChar"/>
    <w:uiPriority w:val="99"/>
    <w:semiHidden/>
    <w:rsid w:val="00FC3F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C3F3D"/>
    <w:rPr>
      <w:rFonts w:ascii="Tahoma" w:hAnsi="Tahoma" w:cs="Tahoma"/>
      <w:sz w:val="16"/>
      <w:szCs w:val="16"/>
    </w:rPr>
  </w:style>
  <w:style w:type="paragraph" w:styleId="Header">
    <w:name w:val="header"/>
    <w:basedOn w:val="Normal"/>
    <w:link w:val="HeaderChar"/>
    <w:uiPriority w:val="99"/>
    <w:semiHidden/>
    <w:rsid w:val="004E6BB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4E6BB2"/>
    <w:rPr>
      <w:rFonts w:cs="Times New Roman"/>
    </w:rPr>
  </w:style>
  <w:style w:type="paragraph" w:styleId="Footer">
    <w:name w:val="footer"/>
    <w:basedOn w:val="Normal"/>
    <w:link w:val="FooterChar"/>
    <w:uiPriority w:val="99"/>
    <w:rsid w:val="004E6BB2"/>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4E6BB2"/>
    <w:rPr>
      <w:rFonts w:cs="Times New Roman"/>
    </w:rPr>
  </w:style>
  <w:style w:type="character" w:styleId="FollowedHyperlink">
    <w:name w:val="FollowedHyperlink"/>
    <w:basedOn w:val="DefaultParagraphFont"/>
    <w:uiPriority w:val="99"/>
    <w:rsid w:val="00455BDA"/>
    <w:rPr>
      <w:rFonts w:cs="Times New Roman"/>
      <w:color w:val="606420"/>
      <w:u w:val="single"/>
    </w:rPr>
  </w:style>
  <w:style w:type="paragraph" w:styleId="NormalWeb">
    <w:name w:val="Normal (Web)"/>
    <w:basedOn w:val="Normal"/>
    <w:uiPriority w:val="99"/>
    <w:rsid w:val="00D51E35"/>
    <w:pPr>
      <w:spacing w:before="100" w:beforeAutospacing="1" w:after="100" w:afterAutospacing="1" w:line="240" w:lineRule="auto"/>
    </w:pPr>
    <w:rPr>
      <w:rFonts w:eastAsia="Times New Roman"/>
    </w:rPr>
  </w:style>
  <w:style w:type="paragraph" w:styleId="CommentSubject">
    <w:name w:val="annotation subject"/>
    <w:basedOn w:val="CommentText"/>
    <w:next w:val="CommentText"/>
    <w:link w:val="CommentSubjectChar"/>
    <w:uiPriority w:val="99"/>
    <w:semiHidden/>
    <w:unhideWhenUsed/>
    <w:rsid w:val="00B70E11"/>
    <w:pPr>
      <w:spacing w:after="200"/>
    </w:pPr>
    <w:rPr>
      <w:rFonts w:ascii="Calibri" w:eastAsia="Calibri" w:hAnsi="Calibri"/>
      <w:b/>
      <w:bCs/>
      <w:lang w:val="en-US"/>
    </w:rPr>
  </w:style>
  <w:style w:type="character" w:customStyle="1" w:styleId="CommentSubjectChar">
    <w:name w:val="Comment Subject Char"/>
    <w:basedOn w:val="CommentTextChar"/>
    <w:link w:val="CommentSubject"/>
    <w:uiPriority w:val="99"/>
    <w:semiHidden/>
    <w:rsid w:val="00B70E11"/>
    <w:rPr>
      <w:rFonts w:ascii="Times New Roman" w:hAnsi="Times New Roman" w:cs="Times New Roman"/>
      <w:b/>
      <w:bCs/>
      <w:sz w:val="20"/>
      <w:szCs w:val="20"/>
      <w:lang w:val="en-US" w:eastAsia="en-US"/>
    </w:rPr>
  </w:style>
  <w:style w:type="character" w:customStyle="1" w:styleId="Heading3Char">
    <w:name w:val="Heading 3 Char"/>
    <w:basedOn w:val="DefaultParagraphFont"/>
    <w:link w:val="Heading3"/>
    <w:uiPriority w:val="9"/>
    <w:rsid w:val="00E55777"/>
    <w:rPr>
      <w:rFonts w:ascii="Times New Roman" w:eastAsia="Times New Roman" w:hAnsi="Times New Roman"/>
      <w:b/>
      <w:bCs/>
      <w:color w:val="303030"/>
      <w:sz w:val="18"/>
      <w:szCs w:val="18"/>
      <w:lang w:val="en-US" w:eastAsia="en-US"/>
    </w:rPr>
  </w:style>
  <w:style w:type="paragraph" w:customStyle="1" w:styleId="Footnote">
    <w:name w:val="Footnote"/>
    <w:basedOn w:val="Normal"/>
    <w:uiPriority w:val="99"/>
    <w:rsid w:val="00CE0D24"/>
    <w:pPr>
      <w:widowControl w:val="0"/>
      <w:autoSpaceDE w:val="0"/>
      <w:autoSpaceDN w:val="0"/>
      <w:adjustRightInd w:val="0"/>
      <w:spacing w:after="0" w:line="200" w:lineRule="atLeast"/>
      <w:ind w:firstLine="160"/>
      <w:jc w:val="both"/>
      <w:textAlignment w:val="center"/>
    </w:pPr>
    <w:rPr>
      <w:rFonts w:ascii="Times New Roman" w:eastAsia="Times New Roman" w:hAnsi="Times New Roman"/>
      <w:color w:val="000000"/>
      <w:lang w:val="en-GB"/>
    </w:rPr>
  </w:style>
  <w:style w:type="character" w:customStyle="1" w:styleId="italic">
    <w:name w:val="_italic"/>
    <w:uiPriority w:val="99"/>
    <w:rsid w:val="001B50C3"/>
    <w:rPr>
      <w:i/>
      <w:color w:val="000000"/>
    </w:rPr>
  </w:style>
  <w:style w:type="paragraph" w:customStyle="1" w:styleId="footnotetext2">
    <w:name w:val="footnote text 2"/>
    <w:basedOn w:val="FootnoteText"/>
    <w:qFormat/>
    <w:rsid w:val="00894419"/>
    <w:rPr>
      <w:rFonts w:ascii="Times New Roman" w:hAnsi="Times New Roman"/>
      <w:bCs/>
    </w:rPr>
  </w:style>
  <w:style w:type="paragraph" w:styleId="EndnoteText">
    <w:name w:val="endnote text"/>
    <w:basedOn w:val="Normal"/>
    <w:link w:val="EndnoteTextChar"/>
    <w:uiPriority w:val="99"/>
    <w:unhideWhenUsed/>
    <w:rsid w:val="00880F62"/>
    <w:pPr>
      <w:spacing w:after="0" w:line="240" w:lineRule="auto"/>
    </w:pPr>
    <w:rPr>
      <w:rFonts w:ascii="Times New Roman" w:eastAsia="MS Mincho" w:hAnsi="Times New Roman"/>
      <w:sz w:val="20"/>
      <w:szCs w:val="20"/>
      <w:lang w:val="en-AU"/>
    </w:rPr>
  </w:style>
  <w:style w:type="character" w:customStyle="1" w:styleId="EndnoteTextChar">
    <w:name w:val="Endnote Text Char"/>
    <w:basedOn w:val="DefaultParagraphFont"/>
    <w:link w:val="EndnoteText"/>
    <w:uiPriority w:val="99"/>
    <w:rsid w:val="00880F62"/>
    <w:rPr>
      <w:rFonts w:ascii="Times New Roman" w:eastAsia="MS Mincho" w:hAnsi="Times New Roman"/>
      <w:sz w:val="20"/>
      <w:szCs w:val="20"/>
      <w:lang w:eastAsia="en-US"/>
    </w:rPr>
  </w:style>
  <w:style w:type="character" w:customStyle="1" w:styleId="maintexte1">
    <w:name w:val="maintexte1"/>
    <w:basedOn w:val="DefaultParagraphFont"/>
    <w:rsid w:val="00E769CC"/>
    <w:rPr>
      <w:b w:val="0"/>
      <w:bCs w:val="0"/>
      <w:color w:val="333333"/>
      <w:sz w:val="17"/>
      <w:szCs w:val="17"/>
    </w:rPr>
  </w:style>
  <w:style w:type="character" w:customStyle="1" w:styleId="Heading1Char">
    <w:name w:val="Heading 1 Char"/>
    <w:basedOn w:val="DefaultParagraphFont"/>
    <w:link w:val="Heading1"/>
    <w:uiPriority w:val="9"/>
    <w:rsid w:val="00C10317"/>
    <w:rPr>
      <w:rFonts w:asciiTheme="majorHAnsi" w:eastAsiaTheme="majorEastAsia" w:hAnsiTheme="majorHAnsi" w:cstheme="majorBidi"/>
      <w:b/>
      <w:bCs/>
      <w:color w:val="365F91" w:themeColor="accent1" w:themeShade="BF"/>
      <w:sz w:val="28"/>
      <w:szCs w:val="28"/>
      <w:lang w:eastAsia="en-US"/>
    </w:rPr>
  </w:style>
  <w:style w:type="paragraph" w:customStyle="1" w:styleId="SingleTxtG">
    <w:name w:val="_ Single Txt_G"/>
    <w:basedOn w:val="Normal"/>
    <w:link w:val="SingleTxtGChar"/>
    <w:rsid w:val="00B57ECE"/>
    <w:pPr>
      <w:suppressAutoHyphens/>
      <w:spacing w:after="120" w:line="240" w:lineRule="atLeast"/>
      <w:ind w:left="1134" w:right="1134"/>
      <w:jc w:val="both"/>
    </w:pPr>
    <w:rPr>
      <w:rFonts w:ascii="Times New Roman" w:eastAsia="Times New Roman" w:hAnsi="Times New Roman"/>
      <w:sz w:val="20"/>
      <w:szCs w:val="20"/>
      <w:lang w:val="en-GB"/>
    </w:rPr>
  </w:style>
  <w:style w:type="paragraph" w:customStyle="1" w:styleId="HChG">
    <w:name w:val="_ H _Ch_G"/>
    <w:basedOn w:val="Normal"/>
    <w:next w:val="Normal"/>
    <w:link w:val="HChGChar"/>
    <w:rsid w:val="00B57ECE"/>
    <w:pPr>
      <w:keepNext/>
      <w:keepLines/>
      <w:tabs>
        <w:tab w:val="right" w:pos="851"/>
      </w:tabs>
      <w:suppressAutoHyphens/>
      <w:spacing w:before="360" w:after="240" w:line="300" w:lineRule="exact"/>
      <w:ind w:left="1134" w:right="1134" w:hanging="1134"/>
    </w:pPr>
    <w:rPr>
      <w:rFonts w:ascii="Times New Roman" w:eastAsia="Times New Roman" w:hAnsi="Times New Roman"/>
      <w:b/>
      <w:sz w:val="28"/>
      <w:szCs w:val="20"/>
      <w:lang w:val="en-GB"/>
    </w:rPr>
  </w:style>
  <w:style w:type="character" w:customStyle="1" w:styleId="HChGChar">
    <w:name w:val="_ H _Ch_G Char"/>
    <w:link w:val="HChG"/>
    <w:rsid w:val="00B57ECE"/>
    <w:rPr>
      <w:rFonts w:ascii="Times New Roman" w:eastAsia="Times New Roman" w:hAnsi="Times New Roman"/>
      <w:b/>
      <w:sz w:val="28"/>
      <w:szCs w:val="20"/>
      <w:lang w:val="en-GB" w:eastAsia="en-US"/>
    </w:rPr>
  </w:style>
  <w:style w:type="character" w:customStyle="1" w:styleId="SingleTxtGChar">
    <w:name w:val="_ Single Txt_G Char"/>
    <w:link w:val="SingleTxtG"/>
    <w:rsid w:val="00B57ECE"/>
    <w:rPr>
      <w:rFonts w:ascii="Times New Roman" w:eastAsia="Times New Roman" w:hAnsi="Times New Roman"/>
      <w:sz w:val="20"/>
      <w:szCs w:val="20"/>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AU" w:eastAsia="en-A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nhideWhenUsed="0"/>
    <w:lsdException w:name="annotation text" w:locked="1" w:semiHidden="0" w:uiPriority="0" w:unhideWhenUsed="0"/>
    <w:lsdException w:name="caption" w:locked="1" w:uiPriority="0" w:qFormat="1"/>
    <w:lsdException w:name="footnote reference" w:locked="1" w:semiHidden="0" w:uiPriority="0" w:unhideWhenUsed="0"/>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62C3"/>
    <w:pPr>
      <w:spacing w:after="200" w:line="360" w:lineRule="auto"/>
    </w:pPr>
    <w:rPr>
      <w:rFonts w:asciiTheme="majorHAnsi" w:hAnsiTheme="majorHAnsi" w:cstheme="minorHAnsi"/>
      <w:sz w:val="24"/>
      <w:szCs w:val="24"/>
      <w:lang w:val="en-US" w:eastAsia="en-US"/>
    </w:rPr>
  </w:style>
  <w:style w:type="paragraph" w:styleId="Heading1">
    <w:name w:val="heading 1"/>
    <w:basedOn w:val="Normal"/>
    <w:next w:val="Normal"/>
    <w:link w:val="Heading1Char"/>
    <w:uiPriority w:val="9"/>
    <w:qFormat/>
    <w:locked/>
    <w:rsid w:val="00C10317"/>
    <w:pPr>
      <w:keepNext/>
      <w:keepLines/>
      <w:spacing w:before="480" w:after="0"/>
      <w:outlineLvl w:val="0"/>
    </w:pPr>
    <w:rPr>
      <w:rFonts w:eastAsiaTheme="majorEastAsia" w:cstheme="majorBidi"/>
      <w:b/>
      <w:bCs/>
      <w:color w:val="365F91" w:themeColor="accent1" w:themeShade="BF"/>
      <w:sz w:val="28"/>
      <w:szCs w:val="28"/>
      <w:lang w:val="en-AU"/>
    </w:rPr>
  </w:style>
  <w:style w:type="paragraph" w:styleId="Heading3">
    <w:name w:val="heading 3"/>
    <w:basedOn w:val="Normal"/>
    <w:link w:val="Heading3Char"/>
    <w:uiPriority w:val="9"/>
    <w:qFormat/>
    <w:locked/>
    <w:rsid w:val="00E55777"/>
    <w:pPr>
      <w:spacing w:after="0" w:line="240" w:lineRule="auto"/>
      <w:outlineLvl w:val="2"/>
    </w:pPr>
    <w:rPr>
      <w:rFonts w:ascii="Times New Roman" w:eastAsia="Times New Roman" w:hAnsi="Times New Roman"/>
      <w:b/>
      <w:bCs/>
      <w:color w:val="30303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731248"/>
    <w:pPr>
      <w:spacing w:after="0" w:line="240" w:lineRule="auto"/>
    </w:pPr>
    <w:rPr>
      <w:sz w:val="20"/>
      <w:szCs w:val="20"/>
    </w:rPr>
  </w:style>
  <w:style w:type="character" w:customStyle="1" w:styleId="FootnoteTextChar">
    <w:name w:val="Footnote Text Char"/>
    <w:basedOn w:val="DefaultParagraphFont"/>
    <w:link w:val="FootnoteText"/>
    <w:uiPriority w:val="99"/>
    <w:locked/>
    <w:rsid w:val="00731248"/>
    <w:rPr>
      <w:rFonts w:cs="Times New Roman"/>
      <w:sz w:val="20"/>
      <w:szCs w:val="20"/>
    </w:rPr>
  </w:style>
  <w:style w:type="character" w:styleId="FootnoteReference">
    <w:name w:val="footnote reference"/>
    <w:aliases w:val="4_G"/>
    <w:basedOn w:val="DefaultParagraphFont"/>
    <w:rsid w:val="00731248"/>
    <w:rPr>
      <w:rFonts w:cs="Times New Roman"/>
      <w:vertAlign w:val="superscript"/>
    </w:rPr>
  </w:style>
  <w:style w:type="character" w:styleId="Hyperlink">
    <w:name w:val="Hyperlink"/>
    <w:basedOn w:val="DefaultParagraphFont"/>
    <w:uiPriority w:val="99"/>
    <w:rsid w:val="008450B2"/>
    <w:rPr>
      <w:rFonts w:cs="Times New Roman"/>
      <w:color w:val="0000FF"/>
      <w:u w:val="single"/>
    </w:rPr>
  </w:style>
  <w:style w:type="character" w:styleId="Strong">
    <w:name w:val="Strong"/>
    <w:basedOn w:val="DefaultParagraphFont"/>
    <w:uiPriority w:val="22"/>
    <w:qFormat/>
    <w:rsid w:val="008450B2"/>
    <w:rPr>
      <w:rFonts w:cs="Times New Roman"/>
      <w:b/>
      <w:bCs/>
    </w:rPr>
  </w:style>
  <w:style w:type="paragraph" w:styleId="ListParagraph">
    <w:name w:val="List Paragraph"/>
    <w:basedOn w:val="Normal"/>
    <w:uiPriority w:val="99"/>
    <w:qFormat/>
    <w:rsid w:val="00042DBC"/>
    <w:pPr>
      <w:ind w:left="720"/>
      <w:contextualSpacing/>
    </w:pPr>
  </w:style>
  <w:style w:type="character" w:styleId="CommentReference">
    <w:name w:val="annotation reference"/>
    <w:basedOn w:val="DefaultParagraphFont"/>
    <w:uiPriority w:val="99"/>
    <w:rsid w:val="00FC3F3D"/>
    <w:rPr>
      <w:rFonts w:cs="Times New Roman"/>
      <w:sz w:val="16"/>
      <w:szCs w:val="16"/>
    </w:rPr>
  </w:style>
  <w:style w:type="paragraph" w:styleId="CommentText">
    <w:name w:val="annotation text"/>
    <w:basedOn w:val="Normal"/>
    <w:link w:val="CommentTextChar"/>
    <w:uiPriority w:val="99"/>
    <w:rsid w:val="00FC3F3D"/>
    <w:pPr>
      <w:spacing w:after="0" w:line="240" w:lineRule="auto"/>
    </w:pPr>
    <w:rPr>
      <w:rFonts w:ascii="Times New Roman" w:eastAsia="Times New Roman" w:hAnsi="Times New Roman"/>
      <w:sz w:val="20"/>
      <w:szCs w:val="20"/>
      <w:lang w:val="en-AU"/>
    </w:rPr>
  </w:style>
  <w:style w:type="character" w:customStyle="1" w:styleId="CommentTextChar">
    <w:name w:val="Comment Text Char"/>
    <w:basedOn w:val="DefaultParagraphFont"/>
    <w:link w:val="CommentText"/>
    <w:uiPriority w:val="99"/>
    <w:locked/>
    <w:rsid w:val="00FC3F3D"/>
    <w:rPr>
      <w:rFonts w:ascii="Times New Roman" w:hAnsi="Times New Roman" w:cs="Times New Roman"/>
      <w:sz w:val="20"/>
      <w:szCs w:val="20"/>
      <w:lang w:val="en-AU"/>
    </w:rPr>
  </w:style>
  <w:style w:type="paragraph" w:styleId="BalloonText">
    <w:name w:val="Balloon Text"/>
    <w:basedOn w:val="Normal"/>
    <w:link w:val="BalloonTextChar"/>
    <w:uiPriority w:val="99"/>
    <w:semiHidden/>
    <w:rsid w:val="00FC3F3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C3F3D"/>
    <w:rPr>
      <w:rFonts w:ascii="Tahoma" w:hAnsi="Tahoma" w:cs="Tahoma"/>
      <w:sz w:val="16"/>
      <w:szCs w:val="16"/>
    </w:rPr>
  </w:style>
  <w:style w:type="paragraph" w:styleId="Header">
    <w:name w:val="header"/>
    <w:basedOn w:val="Normal"/>
    <w:link w:val="HeaderChar"/>
    <w:uiPriority w:val="99"/>
    <w:semiHidden/>
    <w:rsid w:val="004E6BB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4E6BB2"/>
    <w:rPr>
      <w:rFonts w:cs="Times New Roman"/>
    </w:rPr>
  </w:style>
  <w:style w:type="paragraph" w:styleId="Footer">
    <w:name w:val="footer"/>
    <w:basedOn w:val="Normal"/>
    <w:link w:val="FooterChar"/>
    <w:uiPriority w:val="99"/>
    <w:rsid w:val="004E6BB2"/>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4E6BB2"/>
    <w:rPr>
      <w:rFonts w:cs="Times New Roman"/>
    </w:rPr>
  </w:style>
  <w:style w:type="character" w:styleId="FollowedHyperlink">
    <w:name w:val="FollowedHyperlink"/>
    <w:basedOn w:val="DefaultParagraphFont"/>
    <w:uiPriority w:val="99"/>
    <w:rsid w:val="00455BDA"/>
    <w:rPr>
      <w:rFonts w:cs="Times New Roman"/>
      <w:color w:val="606420"/>
      <w:u w:val="single"/>
    </w:rPr>
  </w:style>
  <w:style w:type="paragraph" w:styleId="NormalWeb">
    <w:name w:val="Normal (Web)"/>
    <w:basedOn w:val="Normal"/>
    <w:uiPriority w:val="99"/>
    <w:rsid w:val="00D51E35"/>
    <w:pPr>
      <w:spacing w:before="100" w:beforeAutospacing="1" w:after="100" w:afterAutospacing="1" w:line="240" w:lineRule="auto"/>
    </w:pPr>
    <w:rPr>
      <w:rFonts w:eastAsia="Times New Roman"/>
    </w:rPr>
  </w:style>
  <w:style w:type="paragraph" w:styleId="CommentSubject">
    <w:name w:val="annotation subject"/>
    <w:basedOn w:val="CommentText"/>
    <w:next w:val="CommentText"/>
    <w:link w:val="CommentSubjectChar"/>
    <w:uiPriority w:val="99"/>
    <w:semiHidden/>
    <w:unhideWhenUsed/>
    <w:rsid w:val="00B70E11"/>
    <w:pPr>
      <w:spacing w:after="200"/>
    </w:pPr>
    <w:rPr>
      <w:rFonts w:ascii="Calibri" w:eastAsia="Calibri" w:hAnsi="Calibri"/>
      <w:b/>
      <w:bCs/>
      <w:lang w:val="en-US"/>
    </w:rPr>
  </w:style>
  <w:style w:type="character" w:customStyle="1" w:styleId="CommentSubjectChar">
    <w:name w:val="Comment Subject Char"/>
    <w:basedOn w:val="CommentTextChar"/>
    <w:link w:val="CommentSubject"/>
    <w:uiPriority w:val="99"/>
    <w:semiHidden/>
    <w:rsid w:val="00B70E11"/>
    <w:rPr>
      <w:rFonts w:ascii="Times New Roman" w:hAnsi="Times New Roman" w:cs="Times New Roman"/>
      <w:b/>
      <w:bCs/>
      <w:sz w:val="20"/>
      <w:szCs w:val="20"/>
      <w:lang w:val="en-US" w:eastAsia="en-US"/>
    </w:rPr>
  </w:style>
  <w:style w:type="character" w:customStyle="1" w:styleId="Heading3Char">
    <w:name w:val="Heading 3 Char"/>
    <w:basedOn w:val="DefaultParagraphFont"/>
    <w:link w:val="Heading3"/>
    <w:uiPriority w:val="9"/>
    <w:rsid w:val="00E55777"/>
    <w:rPr>
      <w:rFonts w:ascii="Times New Roman" w:eastAsia="Times New Roman" w:hAnsi="Times New Roman"/>
      <w:b/>
      <w:bCs/>
      <w:color w:val="303030"/>
      <w:sz w:val="18"/>
      <w:szCs w:val="18"/>
      <w:lang w:val="en-US" w:eastAsia="en-US"/>
    </w:rPr>
  </w:style>
  <w:style w:type="paragraph" w:customStyle="1" w:styleId="Footnote">
    <w:name w:val="Footnote"/>
    <w:basedOn w:val="Normal"/>
    <w:uiPriority w:val="99"/>
    <w:rsid w:val="00CE0D24"/>
    <w:pPr>
      <w:widowControl w:val="0"/>
      <w:autoSpaceDE w:val="0"/>
      <w:autoSpaceDN w:val="0"/>
      <w:adjustRightInd w:val="0"/>
      <w:spacing w:after="0" w:line="200" w:lineRule="atLeast"/>
      <w:ind w:firstLine="160"/>
      <w:jc w:val="both"/>
      <w:textAlignment w:val="center"/>
    </w:pPr>
    <w:rPr>
      <w:rFonts w:ascii="Times New Roman" w:eastAsia="Times New Roman" w:hAnsi="Times New Roman"/>
      <w:color w:val="000000"/>
      <w:lang w:val="en-GB"/>
    </w:rPr>
  </w:style>
  <w:style w:type="character" w:customStyle="1" w:styleId="italic">
    <w:name w:val="_italic"/>
    <w:uiPriority w:val="99"/>
    <w:rsid w:val="001B50C3"/>
    <w:rPr>
      <w:i/>
      <w:color w:val="000000"/>
    </w:rPr>
  </w:style>
  <w:style w:type="paragraph" w:customStyle="1" w:styleId="footnotetext2">
    <w:name w:val="footnote text 2"/>
    <w:basedOn w:val="FootnoteText"/>
    <w:qFormat/>
    <w:rsid w:val="00894419"/>
    <w:rPr>
      <w:rFonts w:ascii="Times New Roman" w:hAnsi="Times New Roman"/>
      <w:bCs/>
    </w:rPr>
  </w:style>
  <w:style w:type="paragraph" w:styleId="EndnoteText">
    <w:name w:val="endnote text"/>
    <w:basedOn w:val="Normal"/>
    <w:link w:val="EndnoteTextChar"/>
    <w:uiPriority w:val="99"/>
    <w:unhideWhenUsed/>
    <w:rsid w:val="00880F62"/>
    <w:pPr>
      <w:spacing w:after="0" w:line="240" w:lineRule="auto"/>
    </w:pPr>
    <w:rPr>
      <w:rFonts w:ascii="Times New Roman" w:eastAsia="MS Mincho" w:hAnsi="Times New Roman"/>
      <w:sz w:val="20"/>
      <w:szCs w:val="20"/>
      <w:lang w:val="en-AU"/>
    </w:rPr>
  </w:style>
  <w:style w:type="character" w:customStyle="1" w:styleId="EndnoteTextChar">
    <w:name w:val="Endnote Text Char"/>
    <w:basedOn w:val="DefaultParagraphFont"/>
    <w:link w:val="EndnoteText"/>
    <w:uiPriority w:val="99"/>
    <w:rsid w:val="00880F62"/>
    <w:rPr>
      <w:rFonts w:ascii="Times New Roman" w:eastAsia="MS Mincho" w:hAnsi="Times New Roman"/>
      <w:sz w:val="20"/>
      <w:szCs w:val="20"/>
      <w:lang w:eastAsia="en-US"/>
    </w:rPr>
  </w:style>
  <w:style w:type="character" w:customStyle="1" w:styleId="maintexte1">
    <w:name w:val="maintexte1"/>
    <w:basedOn w:val="DefaultParagraphFont"/>
    <w:rsid w:val="00E769CC"/>
    <w:rPr>
      <w:b w:val="0"/>
      <w:bCs w:val="0"/>
      <w:color w:val="333333"/>
      <w:sz w:val="17"/>
      <w:szCs w:val="17"/>
    </w:rPr>
  </w:style>
  <w:style w:type="character" w:customStyle="1" w:styleId="Heading1Char">
    <w:name w:val="Heading 1 Char"/>
    <w:basedOn w:val="DefaultParagraphFont"/>
    <w:link w:val="Heading1"/>
    <w:uiPriority w:val="9"/>
    <w:rsid w:val="00C10317"/>
    <w:rPr>
      <w:rFonts w:asciiTheme="majorHAnsi" w:eastAsiaTheme="majorEastAsia" w:hAnsiTheme="majorHAnsi" w:cstheme="majorBidi"/>
      <w:b/>
      <w:bCs/>
      <w:color w:val="365F91" w:themeColor="accent1" w:themeShade="BF"/>
      <w:sz w:val="28"/>
      <w:szCs w:val="28"/>
      <w:lang w:eastAsia="en-US"/>
    </w:rPr>
  </w:style>
  <w:style w:type="paragraph" w:customStyle="1" w:styleId="SingleTxtG">
    <w:name w:val="_ Single Txt_G"/>
    <w:basedOn w:val="Normal"/>
    <w:link w:val="SingleTxtGChar"/>
    <w:rsid w:val="00B57ECE"/>
    <w:pPr>
      <w:suppressAutoHyphens/>
      <w:spacing w:after="120" w:line="240" w:lineRule="atLeast"/>
      <w:ind w:left="1134" w:right="1134"/>
      <w:jc w:val="both"/>
    </w:pPr>
    <w:rPr>
      <w:rFonts w:ascii="Times New Roman" w:eastAsia="Times New Roman" w:hAnsi="Times New Roman"/>
      <w:sz w:val="20"/>
      <w:szCs w:val="20"/>
      <w:lang w:val="en-GB"/>
    </w:rPr>
  </w:style>
  <w:style w:type="paragraph" w:customStyle="1" w:styleId="HChG">
    <w:name w:val="_ H _Ch_G"/>
    <w:basedOn w:val="Normal"/>
    <w:next w:val="Normal"/>
    <w:link w:val="HChGChar"/>
    <w:rsid w:val="00B57ECE"/>
    <w:pPr>
      <w:keepNext/>
      <w:keepLines/>
      <w:tabs>
        <w:tab w:val="right" w:pos="851"/>
      </w:tabs>
      <w:suppressAutoHyphens/>
      <w:spacing w:before="360" w:after="240" w:line="300" w:lineRule="exact"/>
      <w:ind w:left="1134" w:right="1134" w:hanging="1134"/>
    </w:pPr>
    <w:rPr>
      <w:rFonts w:ascii="Times New Roman" w:eastAsia="Times New Roman" w:hAnsi="Times New Roman"/>
      <w:b/>
      <w:sz w:val="28"/>
      <w:szCs w:val="20"/>
      <w:lang w:val="en-GB"/>
    </w:rPr>
  </w:style>
  <w:style w:type="character" w:customStyle="1" w:styleId="HChGChar">
    <w:name w:val="_ H _Ch_G Char"/>
    <w:link w:val="HChG"/>
    <w:rsid w:val="00B57ECE"/>
    <w:rPr>
      <w:rFonts w:ascii="Times New Roman" w:eastAsia="Times New Roman" w:hAnsi="Times New Roman"/>
      <w:b/>
      <w:sz w:val="28"/>
      <w:szCs w:val="20"/>
      <w:lang w:val="en-GB" w:eastAsia="en-US"/>
    </w:rPr>
  </w:style>
  <w:style w:type="character" w:customStyle="1" w:styleId="SingleTxtGChar">
    <w:name w:val="_ Single Txt_G Char"/>
    <w:link w:val="SingleTxtG"/>
    <w:rsid w:val="00B57ECE"/>
    <w:rPr>
      <w:rFonts w:ascii="Times New Roman" w:eastAsia="Times New Roman" w:hAnsi="Times New Roman"/>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9762321">
      <w:marLeft w:val="0"/>
      <w:marRight w:val="0"/>
      <w:marTop w:val="0"/>
      <w:marBottom w:val="0"/>
      <w:divBdr>
        <w:top w:val="none" w:sz="0" w:space="0" w:color="auto"/>
        <w:left w:val="none" w:sz="0" w:space="0" w:color="auto"/>
        <w:bottom w:val="none" w:sz="0" w:space="0" w:color="auto"/>
        <w:right w:val="none" w:sz="0" w:space="0" w:color="auto"/>
      </w:divBdr>
    </w:div>
    <w:div w:id="1867253788">
      <w:bodyDiv w:val="1"/>
      <w:marLeft w:val="0"/>
      <w:marRight w:val="0"/>
      <w:marTop w:val="0"/>
      <w:marBottom w:val="0"/>
      <w:divBdr>
        <w:top w:val="none" w:sz="0" w:space="0" w:color="auto"/>
        <w:left w:val="none" w:sz="0" w:space="0" w:color="auto"/>
        <w:bottom w:val="none" w:sz="0" w:space="0" w:color="auto"/>
        <w:right w:val="none" w:sz="0" w:space="0" w:color="auto"/>
      </w:divBdr>
      <w:divsChild>
        <w:div w:id="1747072550">
          <w:marLeft w:val="0"/>
          <w:marRight w:val="0"/>
          <w:marTop w:val="0"/>
          <w:marBottom w:val="0"/>
          <w:divBdr>
            <w:top w:val="none" w:sz="0" w:space="0" w:color="auto"/>
            <w:left w:val="none" w:sz="0" w:space="0" w:color="auto"/>
            <w:bottom w:val="none" w:sz="0" w:space="0" w:color="auto"/>
            <w:right w:val="none" w:sz="0" w:space="0" w:color="auto"/>
          </w:divBdr>
          <w:divsChild>
            <w:div w:id="559100834">
              <w:marLeft w:val="0"/>
              <w:marRight w:val="0"/>
              <w:marTop w:val="0"/>
              <w:marBottom w:val="0"/>
              <w:divBdr>
                <w:top w:val="none" w:sz="0" w:space="0" w:color="auto"/>
                <w:left w:val="none" w:sz="0" w:space="0" w:color="auto"/>
                <w:bottom w:val="none" w:sz="0" w:space="0" w:color="auto"/>
                <w:right w:val="none" w:sz="0" w:space="0" w:color="auto"/>
              </w:divBdr>
              <w:divsChild>
                <w:div w:id="979190956">
                  <w:marLeft w:val="0"/>
                  <w:marRight w:val="0"/>
                  <w:marTop w:val="0"/>
                  <w:marBottom w:val="0"/>
                  <w:divBdr>
                    <w:top w:val="none" w:sz="0" w:space="0" w:color="auto"/>
                    <w:left w:val="none" w:sz="0" w:space="0" w:color="auto"/>
                    <w:bottom w:val="none" w:sz="0" w:space="0" w:color="auto"/>
                    <w:right w:val="none" w:sz="0" w:space="0" w:color="auto"/>
                  </w:divBdr>
                  <w:divsChild>
                    <w:div w:id="660699343">
                      <w:marLeft w:val="0"/>
                      <w:marRight w:val="0"/>
                      <w:marTop w:val="0"/>
                      <w:marBottom w:val="0"/>
                      <w:divBdr>
                        <w:top w:val="none" w:sz="0" w:space="0" w:color="auto"/>
                        <w:left w:val="none" w:sz="0" w:space="0" w:color="auto"/>
                        <w:bottom w:val="none" w:sz="0" w:space="0" w:color="auto"/>
                        <w:right w:val="none" w:sz="0" w:space="0" w:color="auto"/>
                      </w:divBdr>
                      <w:divsChild>
                        <w:div w:id="1118061337">
                          <w:marLeft w:val="0"/>
                          <w:marRight w:val="0"/>
                          <w:marTop w:val="0"/>
                          <w:marBottom w:val="0"/>
                          <w:divBdr>
                            <w:top w:val="none" w:sz="0" w:space="0" w:color="auto"/>
                            <w:left w:val="none" w:sz="0" w:space="0" w:color="auto"/>
                            <w:bottom w:val="none" w:sz="0" w:space="0" w:color="auto"/>
                            <w:right w:val="none" w:sz="0" w:space="0" w:color="auto"/>
                          </w:divBdr>
                          <w:divsChild>
                            <w:div w:id="31969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5352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unesco.org/new/fileadmin/MULTIMEDIA/HQ/BSP/GENDER/PDF/1.%20Baseline%20Definitions%20of%20key%20gender-related%20concepts.pdf" TargetMode="External"/><Relationship Id="rId13" Type="http://schemas.openxmlformats.org/officeDocument/2006/relationships/hyperlink" Target="http://www.ohchr.org/EN/NewsEvents/Pages/DisplayNews.aspx?NewsID=13583" TargetMode="External"/><Relationship Id="rId3" Type="http://schemas.openxmlformats.org/officeDocument/2006/relationships/hyperlink" Target="http://www.theatlantic.com/entertainment/archive/2014/09/cisgenders-linguistic-uphill-battle/380342/" TargetMode="External"/><Relationship Id="rId7" Type="http://schemas.openxmlformats.org/officeDocument/2006/relationships/hyperlink" Target="http://unesdoc.unesco.org/images/0013/001318/131854e.pdf" TargetMode="External"/><Relationship Id="rId12" Type="http://schemas.openxmlformats.org/officeDocument/2006/relationships/hyperlink" Target="http://www.ohchr.org/documents/publications/bornfreeandequallowres.pdf" TargetMode="External"/><Relationship Id="rId17" Type="http://schemas.openxmlformats.org/officeDocument/2006/relationships/hyperlink" Target="http://www.fedpress.aust.com/Books/AGLLJ.htm" TargetMode="External"/><Relationship Id="rId2" Type="http://schemas.openxmlformats.org/officeDocument/2006/relationships/hyperlink" Target="http://unboxifyme.com/wild-quiz-whats-your-gender-identity/" TargetMode="External"/><Relationship Id="rId16" Type="http://schemas.openxmlformats.org/officeDocument/2006/relationships/hyperlink" Target="http://iglhrc.org/content/united-nations-general-assembly-statement-affirming-human-rights-protections-include-sexual" TargetMode="External"/><Relationship Id="rId1" Type="http://schemas.openxmlformats.org/officeDocument/2006/relationships/hyperlink" Target="http://www.slate.com/blogs/future_tense/2014/02/13/facebook_custom_gender_options_here_are_all_56_custom_options.html" TargetMode="External"/><Relationship Id="rId6" Type="http://schemas.openxmlformats.org/officeDocument/2006/relationships/hyperlink" Target="http://www.its.caltech.edu/~nmcenter/women-cp/beijing3.html" TargetMode="External"/><Relationship Id="rId11" Type="http://schemas.openxmlformats.org/officeDocument/2006/relationships/hyperlink" Target="http://arc-international.net/wp-content/uploads/2013/09/How-far-has-SOGII-for-web.pdf" TargetMode="External"/><Relationship Id="rId5" Type="http://schemas.openxmlformats.org/officeDocument/2006/relationships/hyperlink" Target="http://www.nwjc.org.au/flj.htm" TargetMode="External"/><Relationship Id="rId15" Type="http://schemas.openxmlformats.org/officeDocument/2006/relationships/hyperlink" Target="http://arc-international.net/global-advocacy/sogi-statements/2008-joint-statement/" TargetMode="External"/><Relationship Id="rId10" Type="http://schemas.openxmlformats.org/officeDocument/2006/relationships/hyperlink" Target="http://iglhrc.org/content/30-years-cedaw-achievements-continuing-challenges-towards-realization-women%E2%80%99s-human-rights" TargetMode="External"/><Relationship Id="rId4" Type="http://schemas.openxmlformats.org/officeDocument/2006/relationships/hyperlink" Target="http://my.execpc.com/~dmmunson/billrights.htm" TargetMode="External"/><Relationship Id="rId9" Type="http://schemas.openxmlformats.org/officeDocument/2006/relationships/hyperlink" Target="http://iglhrc.org/files/287-1.pdf" TargetMode="External"/><Relationship Id="rId14" Type="http://schemas.openxmlformats.org/officeDocument/2006/relationships/hyperlink" Target="http://www.worldbank.org/en/events/2015/05/18/addressing-exclusion-based-on-sexual-orientation-and-gender-ident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D27825-6177-42A5-8CCD-D02C10A1DF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8141</Words>
  <Characters>45941</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A Research Companion to Feminist Legal Theory</vt:lpstr>
    </vt:vector>
  </TitlesOfParts>
  <Company>The University of Melbourne</Company>
  <LinksUpToDate>false</LinksUpToDate>
  <CharactersWithSpaces>53975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Research Companion to Feminist Legal Theory</dc:title>
  <dc:creator>dlo</dc:creator>
  <cp:lastModifiedBy>Dianne Otto</cp:lastModifiedBy>
  <cp:revision>2</cp:revision>
  <cp:lastPrinted>2015-10-06T01:05:00Z</cp:lastPrinted>
  <dcterms:created xsi:type="dcterms:W3CDTF">2015-10-06T01:07:00Z</dcterms:created>
  <dcterms:modified xsi:type="dcterms:W3CDTF">2015-10-06T01:07:00Z</dcterms:modified>
</cp:coreProperties>
</file>