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C0B1DB" w14:textId="77777777" w:rsidR="008054B9" w:rsidRPr="00BA0A34" w:rsidRDefault="008054B9" w:rsidP="003071E0">
      <w:pPr>
        <w:spacing w:line="480" w:lineRule="auto"/>
        <w:rPr>
          <w:b/>
        </w:rPr>
      </w:pPr>
      <w:bookmarkStart w:id="0" w:name="_GoBack"/>
      <w:bookmarkEnd w:id="0"/>
      <w:r w:rsidRPr="00BA0A34">
        <w:rPr>
          <w:b/>
        </w:rPr>
        <w:t>Title Page</w:t>
      </w:r>
    </w:p>
    <w:p w14:paraId="5D73FF97" w14:textId="77777777" w:rsidR="008054B9" w:rsidRDefault="008054B9" w:rsidP="003071E0">
      <w:pPr>
        <w:spacing w:line="480" w:lineRule="auto"/>
      </w:pPr>
    </w:p>
    <w:p w14:paraId="46212650" w14:textId="77777777" w:rsidR="008054B9" w:rsidRDefault="008054B9" w:rsidP="003071E0">
      <w:pPr>
        <w:spacing w:line="480" w:lineRule="auto"/>
      </w:pPr>
      <w:r>
        <w:t>Article Title. Chronic Disease Management: A review of current performance across quality of care domains and opportunities for improving OA care</w:t>
      </w:r>
    </w:p>
    <w:p w14:paraId="00C79878" w14:textId="77777777" w:rsidR="008054B9" w:rsidRDefault="008054B9" w:rsidP="003071E0">
      <w:pPr>
        <w:spacing w:line="480" w:lineRule="auto"/>
      </w:pPr>
    </w:p>
    <w:p w14:paraId="0430D910" w14:textId="77777777" w:rsidR="008054B9" w:rsidRDefault="008054B9" w:rsidP="003071E0">
      <w:pPr>
        <w:spacing w:line="480" w:lineRule="auto"/>
      </w:pPr>
      <w:r>
        <w:t>Authors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firstRow="1" w:lastRow="0" w:firstColumn="1" w:lastColumn="0" w:noHBand="0" w:noVBand="0"/>
      </w:tblPr>
      <w:tblGrid>
        <w:gridCol w:w="2943"/>
        <w:gridCol w:w="5573"/>
      </w:tblGrid>
      <w:tr w:rsidR="008054B9" w14:paraId="04784738" w14:textId="77777777">
        <w:tc>
          <w:tcPr>
            <w:tcW w:w="2943" w:type="dxa"/>
            <w:tcBorders>
              <w:bottom w:val="nil"/>
            </w:tcBorders>
          </w:tcPr>
          <w:p w14:paraId="6103E765" w14:textId="77777777" w:rsidR="008054B9" w:rsidRDefault="008054B9" w:rsidP="003071E0">
            <w:pPr>
              <w:spacing w:line="480" w:lineRule="auto"/>
            </w:pPr>
            <w:r>
              <w:t>Name</w:t>
            </w:r>
          </w:p>
        </w:tc>
        <w:tc>
          <w:tcPr>
            <w:tcW w:w="5573" w:type="dxa"/>
            <w:tcBorders>
              <w:bottom w:val="nil"/>
            </w:tcBorders>
          </w:tcPr>
          <w:p w14:paraId="6DD0F5F2" w14:textId="77777777" w:rsidR="008054B9" w:rsidRDefault="008054B9" w:rsidP="003071E0">
            <w:pPr>
              <w:spacing w:line="480" w:lineRule="auto"/>
            </w:pPr>
            <w:r>
              <w:t>Caroline A Brand (Corresponding author)</w:t>
            </w:r>
          </w:p>
        </w:tc>
      </w:tr>
      <w:tr w:rsidR="008054B9" w14:paraId="0CDF34C2" w14:textId="77777777">
        <w:tc>
          <w:tcPr>
            <w:tcW w:w="2943" w:type="dxa"/>
            <w:tcBorders>
              <w:top w:val="nil"/>
              <w:bottom w:val="nil"/>
            </w:tcBorders>
          </w:tcPr>
          <w:p w14:paraId="1550DE07" w14:textId="77777777" w:rsidR="008054B9" w:rsidRDefault="008054B9" w:rsidP="003071E0">
            <w:pPr>
              <w:spacing w:line="480" w:lineRule="auto"/>
            </w:pPr>
            <w:r>
              <w:t>Degrees</w:t>
            </w:r>
          </w:p>
        </w:tc>
        <w:tc>
          <w:tcPr>
            <w:tcW w:w="5573" w:type="dxa"/>
            <w:tcBorders>
              <w:top w:val="nil"/>
              <w:bottom w:val="nil"/>
            </w:tcBorders>
          </w:tcPr>
          <w:p w14:paraId="5A626C3D" w14:textId="77777777" w:rsidR="008054B9" w:rsidRDefault="008054B9" w:rsidP="003071E0">
            <w:pPr>
              <w:spacing w:line="480" w:lineRule="auto"/>
            </w:pPr>
            <w:r>
              <w:t>MBBS BA MPH FRACP</w:t>
            </w:r>
          </w:p>
        </w:tc>
      </w:tr>
      <w:tr w:rsidR="008054B9" w14:paraId="62FB6F68" w14:textId="77777777">
        <w:tc>
          <w:tcPr>
            <w:tcW w:w="2943" w:type="dxa"/>
            <w:tcBorders>
              <w:top w:val="nil"/>
              <w:bottom w:val="nil"/>
            </w:tcBorders>
          </w:tcPr>
          <w:p w14:paraId="69F7ACB9" w14:textId="77777777" w:rsidR="008054B9" w:rsidRDefault="008054B9" w:rsidP="003071E0">
            <w:pPr>
              <w:spacing w:line="480" w:lineRule="auto"/>
            </w:pPr>
            <w:r>
              <w:t>Affiliations</w:t>
            </w:r>
          </w:p>
        </w:tc>
        <w:tc>
          <w:tcPr>
            <w:tcW w:w="5573" w:type="dxa"/>
            <w:tcBorders>
              <w:top w:val="nil"/>
              <w:bottom w:val="nil"/>
            </w:tcBorders>
          </w:tcPr>
          <w:p w14:paraId="5DAA2287" w14:textId="77777777" w:rsidR="008054B9" w:rsidRDefault="008054B9" w:rsidP="003071E0">
            <w:pPr>
              <w:spacing w:line="480" w:lineRule="auto"/>
            </w:pPr>
            <w:r>
              <w:t>Senior Medical Staff Clinical Epidemiologist, Melbourne EpiCentre, University of Melbourne and Melbourne Health and Adjunct Associate Professor, Centre for Research Excellence in Patient Safety, Monash University</w:t>
            </w:r>
          </w:p>
        </w:tc>
      </w:tr>
      <w:tr w:rsidR="008054B9" w14:paraId="5FF76893" w14:textId="77777777">
        <w:tc>
          <w:tcPr>
            <w:tcW w:w="2943" w:type="dxa"/>
            <w:tcBorders>
              <w:top w:val="nil"/>
              <w:bottom w:val="nil"/>
            </w:tcBorders>
          </w:tcPr>
          <w:p w14:paraId="62EDC4DE" w14:textId="77777777" w:rsidR="008054B9" w:rsidRDefault="008054B9" w:rsidP="003071E0">
            <w:pPr>
              <w:spacing w:line="480" w:lineRule="auto"/>
            </w:pPr>
            <w:r>
              <w:t>Contact Address</w:t>
            </w:r>
          </w:p>
        </w:tc>
        <w:tc>
          <w:tcPr>
            <w:tcW w:w="5573" w:type="dxa"/>
            <w:tcBorders>
              <w:top w:val="nil"/>
              <w:bottom w:val="nil"/>
            </w:tcBorders>
          </w:tcPr>
          <w:p w14:paraId="56A65B8D" w14:textId="77777777" w:rsidR="008054B9" w:rsidRDefault="008054B9" w:rsidP="003071E0">
            <w:pPr>
              <w:spacing w:line="480" w:lineRule="auto"/>
            </w:pPr>
            <w:r>
              <w:t>Melbourne EpiCentre, level 7E, Main Block</w:t>
            </w:r>
          </w:p>
          <w:p w14:paraId="4713276F" w14:textId="77777777" w:rsidR="008054B9" w:rsidRDefault="008054B9" w:rsidP="003071E0">
            <w:pPr>
              <w:spacing w:line="480" w:lineRule="auto"/>
            </w:pPr>
            <w:r>
              <w:t>Royal Melbourne Hospital</w:t>
            </w:r>
          </w:p>
          <w:p w14:paraId="44DCA6CA" w14:textId="77777777" w:rsidR="008054B9" w:rsidRDefault="008054B9" w:rsidP="003071E0">
            <w:pPr>
              <w:spacing w:line="480" w:lineRule="auto"/>
            </w:pPr>
            <w:r>
              <w:t>Grattan St, Parkville, Vic 3052</w:t>
            </w:r>
          </w:p>
        </w:tc>
      </w:tr>
      <w:tr w:rsidR="008054B9" w14:paraId="06F2405C" w14:textId="77777777">
        <w:tc>
          <w:tcPr>
            <w:tcW w:w="2943" w:type="dxa"/>
            <w:tcBorders>
              <w:top w:val="nil"/>
              <w:bottom w:val="nil"/>
            </w:tcBorders>
          </w:tcPr>
          <w:p w14:paraId="3173BD66" w14:textId="77777777" w:rsidR="008054B9" w:rsidRDefault="008054B9" w:rsidP="003071E0">
            <w:pPr>
              <w:spacing w:line="480" w:lineRule="auto"/>
            </w:pPr>
            <w:r>
              <w:t>Telephone and fax numbers</w:t>
            </w:r>
          </w:p>
        </w:tc>
        <w:tc>
          <w:tcPr>
            <w:tcW w:w="5573" w:type="dxa"/>
            <w:tcBorders>
              <w:top w:val="nil"/>
              <w:bottom w:val="nil"/>
            </w:tcBorders>
          </w:tcPr>
          <w:p w14:paraId="4035BE68" w14:textId="77777777" w:rsidR="008054B9" w:rsidRDefault="008054B9" w:rsidP="003071E0">
            <w:pPr>
              <w:spacing w:line="480" w:lineRule="auto"/>
            </w:pPr>
            <w:r>
              <w:t>61 3 93428772</w:t>
            </w:r>
          </w:p>
          <w:p w14:paraId="68D67924" w14:textId="77777777" w:rsidR="008054B9" w:rsidRDefault="008054B9" w:rsidP="003071E0">
            <w:pPr>
              <w:spacing w:line="480" w:lineRule="auto"/>
            </w:pPr>
            <w:r>
              <w:t>61 3 93427060 (F)</w:t>
            </w:r>
          </w:p>
        </w:tc>
      </w:tr>
      <w:tr w:rsidR="008054B9" w14:paraId="23A4D8DA" w14:textId="77777777">
        <w:tc>
          <w:tcPr>
            <w:tcW w:w="2943" w:type="dxa"/>
            <w:tcBorders>
              <w:top w:val="nil"/>
              <w:bottom w:val="nil"/>
            </w:tcBorders>
          </w:tcPr>
          <w:p w14:paraId="169BBA94" w14:textId="77777777" w:rsidR="008054B9" w:rsidRDefault="008054B9" w:rsidP="003071E0">
            <w:pPr>
              <w:spacing w:line="480" w:lineRule="auto"/>
            </w:pPr>
            <w:r>
              <w:t>Email address</w:t>
            </w:r>
          </w:p>
        </w:tc>
        <w:tc>
          <w:tcPr>
            <w:tcW w:w="5573" w:type="dxa"/>
            <w:tcBorders>
              <w:top w:val="nil"/>
              <w:bottom w:val="nil"/>
            </w:tcBorders>
          </w:tcPr>
          <w:p w14:paraId="6F51793C" w14:textId="77777777" w:rsidR="008054B9" w:rsidRDefault="005A256D" w:rsidP="003071E0">
            <w:pPr>
              <w:spacing w:line="480" w:lineRule="auto"/>
            </w:pPr>
            <w:hyperlink r:id="rId8" w:history="1">
              <w:r w:rsidR="008054B9" w:rsidRPr="00690C92">
                <w:rPr>
                  <w:rStyle w:val="Hyperlink"/>
                </w:rPr>
                <w:t>Caroline.brand@mh.org.au</w:t>
              </w:r>
            </w:hyperlink>
          </w:p>
        </w:tc>
      </w:tr>
      <w:tr w:rsidR="008054B9" w14:paraId="0CC1779F" w14:textId="77777777">
        <w:tc>
          <w:tcPr>
            <w:tcW w:w="2943" w:type="dxa"/>
            <w:tcBorders>
              <w:top w:val="nil"/>
            </w:tcBorders>
          </w:tcPr>
          <w:p w14:paraId="061FE5F6" w14:textId="77777777" w:rsidR="008054B9" w:rsidRDefault="008054B9" w:rsidP="003071E0">
            <w:pPr>
              <w:spacing w:line="480" w:lineRule="auto"/>
            </w:pPr>
            <w:r>
              <w:t>Relationship with commercial companies</w:t>
            </w:r>
          </w:p>
        </w:tc>
        <w:tc>
          <w:tcPr>
            <w:tcW w:w="5573" w:type="dxa"/>
            <w:tcBorders>
              <w:top w:val="nil"/>
            </w:tcBorders>
          </w:tcPr>
          <w:p w14:paraId="10C5BBC7" w14:textId="77777777" w:rsidR="008054B9" w:rsidRDefault="008054B9" w:rsidP="003071E0">
            <w:pPr>
              <w:spacing w:line="480" w:lineRule="auto"/>
            </w:pPr>
            <w:r>
              <w:t>None</w:t>
            </w:r>
          </w:p>
        </w:tc>
      </w:tr>
      <w:tr w:rsidR="008054B9" w14:paraId="30E1533B" w14:textId="77777777">
        <w:tc>
          <w:tcPr>
            <w:tcW w:w="2943" w:type="dxa"/>
            <w:tcBorders>
              <w:bottom w:val="single" w:sz="4" w:space="0" w:color="000000"/>
            </w:tcBorders>
          </w:tcPr>
          <w:p w14:paraId="7516B652" w14:textId="77777777" w:rsidR="008054B9" w:rsidRDefault="008054B9" w:rsidP="003071E0">
            <w:pPr>
              <w:spacing w:line="480" w:lineRule="auto"/>
            </w:pPr>
          </w:p>
        </w:tc>
        <w:tc>
          <w:tcPr>
            <w:tcW w:w="5573" w:type="dxa"/>
            <w:tcBorders>
              <w:bottom w:val="single" w:sz="4" w:space="0" w:color="000000"/>
            </w:tcBorders>
          </w:tcPr>
          <w:p w14:paraId="035D6466" w14:textId="77777777" w:rsidR="008054B9" w:rsidRDefault="008054B9" w:rsidP="003071E0">
            <w:pPr>
              <w:spacing w:line="480" w:lineRule="auto"/>
            </w:pPr>
          </w:p>
        </w:tc>
      </w:tr>
      <w:tr w:rsidR="008054B9" w14:paraId="0851558F" w14:textId="77777777">
        <w:tc>
          <w:tcPr>
            <w:tcW w:w="2943" w:type="dxa"/>
            <w:tcBorders>
              <w:bottom w:val="nil"/>
            </w:tcBorders>
          </w:tcPr>
          <w:p w14:paraId="4F42BE6C" w14:textId="77777777" w:rsidR="008054B9" w:rsidRDefault="008054B9" w:rsidP="003071E0">
            <w:pPr>
              <w:spacing w:line="480" w:lineRule="auto"/>
            </w:pPr>
            <w:r>
              <w:t>Name</w:t>
            </w:r>
          </w:p>
        </w:tc>
        <w:tc>
          <w:tcPr>
            <w:tcW w:w="5573" w:type="dxa"/>
            <w:tcBorders>
              <w:bottom w:val="nil"/>
            </w:tcBorders>
          </w:tcPr>
          <w:p w14:paraId="4E9013B8" w14:textId="77777777" w:rsidR="008054B9" w:rsidRDefault="008054B9" w:rsidP="003071E0">
            <w:pPr>
              <w:spacing w:line="480" w:lineRule="auto"/>
            </w:pPr>
            <w:r>
              <w:t>Ilana Ackerman</w:t>
            </w:r>
          </w:p>
        </w:tc>
      </w:tr>
      <w:tr w:rsidR="008054B9" w14:paraId="08D56B17" w14:textId="77777777">
        <w:tc>
          <w:tcPr>
            <w:tcW w:w="2943" w:type="dxa"/>
            <w:tcBorders>
              <w:top w:val="nil"/>
              <w:bottom w:val="nil"/>
            </w:tcBorders>
          </w:tcPr>
          <w:p w14:paraId="334C0F04" w14:textId="77777777" w:rsidR="008054B9" w:rsidRDefault="008054B9" w:rsidP="003071E0">
            <w:pPr>
              <w:spacing w:line="480" w:lineRule="auto"/>
            </w:pPr>
            <w:r>
              <w:t>Degrees</w:t>
            </w:r>
          </w:p>
        </w:tc>
        <w:tc>
          <w:tcPr>
            <w:tcW w:w="5573" w:type="dxa"/>
            <w:tcBorders>
              <w:top w:val="nil"/>
              <w:bottom w:val="nil"/>
            </w:tcBorders>
          </w:tcPr>
          <w:p w14:paraId="07E8CB8C" w14:textId="77777777" w:rsidR="008054B9" w:rsidRDefault="008054B9" w:rsidP="003071E0">
            <w:pPr>
              <w:spacing w:line="480" w:lineRule="auto"/>
            </w:pPr>
            <w:r w:rsidRPr="006E69DD">
              <w:t>B Physio (Hons), PhD</w:t>
            </w:r>
          </w:p>
        </w:tc>
      </w:tr>
      <w:tr w:rsidR="008054B9" w14:paraId="5E0C7837" w14:textId="77777777">
        <w:tc>
          <w:tcPr>
            <w:tcW w:w="2943" w:type="dxa"/>
            <w:tcBorders>
              <w:top w:val="nil"/>
              <w:bottom w:val="nil"/>
            </w:tcBorders>
          </w:tcPr>
          <w:p w14:paraId="7E7A11CA" w14:textId="77777777" w:rsidR="008054B9" w:rsidRDefault="008054B9" w:rsidP="003071E0">
            <w:pPr>
              <w:spacing w:line="480" w:lineRule="auto"/>
            </w:pPr>
            <w:r>
              <w:t>Affiliations</w:t>
            </w:r>
          </w:p>
        </w:tc>
        <w:tc>
          <w:tcPr>
            <w:tcW w:w="5573" w:type="dxa"/>
            <w:tcBorders>
              <w:top w:val="nil"/>
              <w:bottom w:val="nil"/>
            </w:tcBorders>
          </w:tcPr>
          <w:p w14:paraId="2C097AAE" w14:textId="77777777" w:rsidR="008054B9" w:rsidRDefault="008054B9" w:rsidP="003071E0">
            <w:pPr>
              <w:spacing w:line="360" w:lineRule="auto"/>
            </w:pPr>
            <w:r>
              <w:t>Melbourne EpiCentre</w:t>
            </w:r>
          </w:p>
          <w:p w14:paraId="02B42847" w14:textId="77777777" w:rsidR="008054B9" w:rsidRDefault="008054B9" w:rsidP="003071E0">
            <w:pPr>
              <w:spacing w:line="360" w:lineRule="auto"/>
            </w:pPr>
            <w:r>
              <w:lastRenderedPageBreak/>
              <w:t>Department of Medicine</w:t>
            </w:r>
          </w:p>
          <w:p w14:paraId="5479CEB5" w14:textId="77777777" w:rsidR="008054B9" w:rsidRDefault="008054B9" w:rsidP="003071E0">
            <w:pPr>
              <w:spacing w:line="360" w:lineRule="auto"/>
            </w:pPr>
            <w:r>
              <w:t>Royal Melbourne Hospital and The University of Melbourne</w:t>
            </w:r>
          </w:p>
          <w:p w14:paraId="5FFBE852" w14:textId="77777777" w:rsidR="008054B9" w:rsidRDefault="008054B9" w:rsidP="003071E0">
            <w:pPr>
              <w:spacing w:line="480" w:lineRule="auto"/>
            </w:pPr>
          </w:p>
        </w:tc>
      </w:tr>
      <w:tr w:rsidR="008054B9" w14:paraId="196FBD57" w14:textId="77777777">
        <w:tc>
          <w:tcPr>
            <w:tcW w:w="2943" w:type="dxa"/>
            <w:tcBorders>
              <w:top w:val="nil"/>
              <w:bottom w:val="nil"/>
            </w:tcBorders>
          </w:tcPr>
          <w:p w14:paraId="1F6CBB70" w14:textId="77777777" w:rsidR="008054B9" w:rsidRDefault="008054B9" w:rsidP="003071E0">
            <w:pPr>
              <w:spacing w:line="480" w:lineRule="auto"/>
            </w:pPr>
            <w:r>
              <w:lastRenderedPageBreak/>
              <w:t>Contact Address</w:t>
            </w:r>
          </w:p>
        </w:tc>
        <w:tc>
          <w:tcPr>
            <w:tcW w:w="5573" w:type="dxa"/>
            <w:tcBorders>
              <w:top w:val="nil"/>
              <w:bottom w:val="nil"/>
            </w:tcBorders>
          </w:tcPr>
          <w:p w14:paraId="295F68EB" w14:textId="77777777" w:rsidR="008054B9" w:rsidRDefault="008054B9" w:rsidP="003071E0">
            <w:pPr>
              <w:spacing w:line="480" w:lineRule="auto"/>
            </w:pPr>
            <w:r>
              <w:t>Melbourne EpiCentre, level 7E, Main Block</w:t>
            </w:r>
          </w:p>
          <w:p w14:paraId="4C48BFCF" w14:textId="77777777" w:rsidR="008054B9" w:rsidRDefault="008054B9" w:rsidP="003071E0">
            <w:pPr>
              <w:spacing w:line="480" w:lineRule="auto"/>
            </w:pPr>
            <w:r>
              <w:t>Royal Melbourne Hospital</w:t>
            </w:r>
          </w:p>
          <w:p w14:paraId="1DF34A22" w14:textId="77777777" w:rsidR="008054B9" w:rsidRDefault="008054B9" w:rsidP="003071E0">
            <w:pPr>
              <w:spacing w:line="480" w:lineRule="auto"/>
            </w:pPr>
            <w:r>
              <w:t>Grattan St, Parkville, Vic 3052</w:t>
            </w:r>
          </w:p>
        </w:tc>
      </w:tr>
      <w:tr w:rsidR="008054B9" w14:paraId="759A1AB6" w14:textId="77777777">
        <w:tc>
          <w:tcPr>
            <w:tcW w:w="2943" w:type="dxa"/>
            <w:tcBorders>
              <w:top w:val="nil"/>
              <w:bottom w:val="nil"/>
            </w:tcBorders>
          </w:tcPr>
          <w:p w14:paraId="6EBF74EA" w14:textId="77777777" w:rsidR="008054B9" w:rsidRDefault="008054B9" w:rsidP="003071E0">
            <w:pPr>
              <w:spacing w:line="480" w:lineRule="auto"/>
            </w:pPr>
            <w:r>
              <w:t>Telephone and fax numbers</w:t>
            </w:r>
          </w:p>
        </w:tc>
        <w:tc>
          <w:tcPr>
            <w:tcW w:w="5573" w:type="dxa"/>
            <w:tcBorders>
              <w:top w:val="nil"/>
              <w:bottom w:val="nil"/>
            </w:tcBorders>
          </w:tcPr>
          <w:p w14:paraId="41F52BB2" w14:textId="77777777" w:rsidR="008054B9" w:rsidRDefault="008054B9" w:rsidP="003071E0">
            <w:pPr>
              <w:spacing w:line="480" w:lineRule="auto"/>
            </w:pPr>
            <w:r>
              <w:t xml:space="preserve">+61 3 </w:t>
            </w:r>
            <w:r w:rsidRPr="006E69DD">
              <w:t>8344 3145</w:t>
            </w:r>
            <w:r>
              <w:t xml:space="preserve">/ F: +61 3 </w:t>
            </w:r>
            <w:r w:rsidRPr="006E69DD">
              <w:t>9342 8760</w:t>
            </w:r>
          </w:p>
        </w:tc>
      </w:tr>
      <w:tr w:rsidR="008054B9" w14:paraId="29E861AA" w14:textId="77777777">
        <w:tc>
          <w:tcPr>
            <w:tcW w:w="2943" w:type="dxa"/>
            <w:tcBorders>
              <w:top w:val="nil"/>
              <w:bottom w:val="nil"/>
            </w:tcBorders>
          </w:tcPr>
          <w:p w14:paraId="33FFAA29" w14:textId="77777777" w:rsidR="008054B9" w:rsidRDefault="008054B9" w:rsidP="003071E0">
            <w:pPr>
              <w:spacing w:line="480" w:lineRule="auto"/>
            </w:pPr>
            <w:r>
              <w:t>Email address</w:t>
            </w:r>
          </w:p>
        </w:tc>
        <w:tc>
          <w:tcPr>
            <w:tcW w:w="5573" w:type="dxa"/>
            <w:tcBorders>
              <w:top w:val="nil"/>
              <w:bottom w:val="nil"/>
            </w:tcBorders>
          </w:tcPr>
          <w:p w14:paraId="722FAC0D" w14:textId="77777777" w:rsidR="008054B9" w:rsidRDefault="005A256D" w:rsidP="003071E0">
            <w:pPr>
              <w:spacing w:line="480" w:lineRule="auto"/>
            </w:pPr>
            <w:hyperlink r:id="rId9" w:history="1">
              <w:r w:rsidR="008054B9" w:rsidRPr="00690C92">
                <w:rPr>
                  <w:rStyle w:val="Hyperlink"/>
                </w:rPr>
                <w:t>i.ackerman@unimelb.edu.au</w:t>
              </w:r>
            </w:hyperlink>
          </w:p>
        </w:tc>
      </w:tr>
      <w:tr w:rsidR="008054B9" w14:paraId="5C80EE1F" w14:textId="77777777">
        <w:tc>
          <w:tcPr>
            <w:tcW w:w="2943" w:type="dxa"/>
            <w:tcBorders>
              <w:top w:val="nil"/>
            </w:tcBorders>
          </w:tcPr>
          <w:p w14:paraId="52F782CF" w14:textId="77777777" w:rsidR="008054B9" w:rsidRDefault="008054B9" w:rsidP="003071E0">
            <w:pPr>
              <w:spacing w:line="480" w:lineRule="auto"/>
            </w:pPr>
            <w:r>
              <w:t>Relationship with commercial companies</w:t>
            </w:r>
          </w:p>
        </w:tc>
        <w:tc>
          <w:tcPr>
            <w:tcW w:w="5573" w:type="dxa"/>
            <w:tcBorders>
              <w:top w:val="nil"/>
            </w:tcBorders>
          </w:tcPr>
          <w:p w14:paraId="7C62270C" w14:textId="77777777" w:rsidR="008054B9" w:rsidRDefault="008054B9" w:rsidP="003071E0">
            <w:pPr>
              <w:spacing w:line="480" w:lineRule="auto"/>
            </w:pPr>
            <w:r>
              <w:t>None</w:t>
            </w:r>
          </w:p>
        </w:tc>
      </w:tr>
      <w:tr w:rsidR="008054B9" w14:paraId="008181C2" w14:textId="77777777">
        <w:tc>
          <w:tcPr>
            <w:tcW w:w="2943" w:type="dxa"/>
            <w:tcBorders>
              <w:bottom w:val="single" w:sz="4" w:space="0" w:color="000000"/>
            </w:tcBorders>
          </w:tcPr>
          <w:p w14:paraId="593BF15A" w14:textId="77777777" w:rsidR="008054B9" w:rsidRDefault="008054B9" w:rsidP="003071E0">
            <w:pPr>
              <w:spacing w:line="480" w:lineRule="auto"/>
            </w:pPr>
          </w:p>
        </w:tc>
        <w:tc>
          <w:tcPr>
            <w:tcW w:w="5573" w:type="dxa"/>
            <w:tcBorders>
              <w:bottom w:val="single" w:sz="4" w:space="0" w:color="000000"/>
            </w:tcBorders>
          </w:tcPr>
          <w:p w14:paraId="6BA6FE95" w14:textId="77777777" w:rsidR="008054B9" w:rsidRDefault="008054B9" w:rsidP="003071E0">
            <w:pPr>
              <w:spacing w:line="480" w:lineRule="auto"/>
            </w:pPr>
          </w:p>
        </w:tc>
      </w:tr>
      <w:tr w:rsidR="008054B9" w14:paraId="7DD65A23" w14:textId="77777777">
        <w:tc>
          <w:tcPr>
            <w:tcW w:w="2943" w:type="dxa"/>
            <w:tcBorders>
              <w:bottom w:val="nil"/>
            </w:tcBorders>
          </w:tcPr>
          <w:p w14:paraId="035BAB0C" w14:textId="77777777" w:rsidR="008054B9" w:rsidRDefault="008054B9" w:rsidP="003071E0">
            <w:pPr>
              <w:spacing w:line="480" w:lineRule="auto"/>
            </w:pPr>
            <w:r>
              <w:t>Name</w:t>
            </w:r>
          </w:p>
        </w:tc>
        <w:tc>
          <w:tcPr>
            <w:tcW w:w="5573" w:type="dxa"/>
            <w:tcBorders>
              <w:bottom w:val="nil"/>
            </w:tcBorders>
          </w:tcPr>
          <w:p w14:paraId="6EBDAE58" w14:textId="77777777" w:rsidR="008054B9" w:rsidRDefault="008054B9" w:rsidP="003071E0">
            <w:pPr>
              <w:spacing w:line="480" w:lineRule="auto"/>
            </w:pPr>
            <w:r>
              <w:t>Megan BohensKy</w:t>
            </w:r>
          </w:p>
        </w:tc>
      </w:tr>
      <w:tr w:rsidR="008054B9" w14:paraId="68A5D7C1" w14:textId="77777777">
        <w:tc>
          <w:tcPr>
            <w:tcW w:w="2943" w:type="dxa"/>
            <w:tcBorders>
              <w:top w:val="nil"/>
              <w:bottom w:val="nil"/>
            </w:tcBorders>
          </w:tcPr>
          <w:p w14:paraId="234CEE86" w14:textId="77777777" w:rsidR="008054B9" w:rsidRDefault="008054B9" w:rsidP="003071E0">
            <w:pPr>
              <w:spacing w:line="480" w:lineRule="auto"/>
            </w:pPr>
            <w:r>
              <w:t>Degrees</w:t>
            </w:r>
          </w:p>
        </w:tc>
        <w:tc>
          <w:tcPr>
            <w:tcW w:w="5573" w:type="dxa"/>
            <w:tcBorders>
              <w:top w:val="nil"/>
              <w:bottom w:val="nil"/>
            </w:tcBorders>
          </w:tcPr>
          <w:p w14:paraId="59673D41" w14:textId="77777777" w:rsidR="008054B9" w:rsidRDefault="008054B9" w:rsidP="003071E0">
            <w:pPr>
              <w:spacing w:line="480" w:lineRule="auto"/>
            </w:pPr>
            <w:r>
              <w:t>BA, MPH, PhD</w:t>
            </w:r>
          </w:p>
        </w:tc>
      </w:tr>
      <w:tr w:rsidR="008054B9" w14:paraId="02E0436E" w14:textId="77777777">
        <w:tc>
          <w:tcPr>
            <w:tcW w:w="2943" w:type="dxa"/>
            <w:tcBorders>
              <w:top w:val="nil"/>
              <w:bottom w:val="nil"/>
            </w:tcBorders>
          </w:tcPr>
          <w:p w14:paraId="3D52EB98" w14:textId="77777777" w:rsidR="008054B9" w:rsidRDefault="008054B9" w:rsidP="003071E0">
            <w:pPr>
              <w:spacing w:line="480" w:lineRule="auto"/>
            </w:pPr>
            <w:r>
              <w:t>Affiliations</w:t>
            </w:r>
          </w:p>
        </w:tc>
        <w:tc>
          <w:tcPr>
            <w:tcW w:w="5573" w:type="dxa"/>
            <w:tcBorders>
              <w:top w:val="nil"/>
              <w:bottom w:val="nil"/>
            </w:tcBorders>
          </w:tcPr>
          <w:p w14:paraId="3124EFF3" w14:textId="77777777" w:rsidR="008054B9" w:rsidRDefault="008054B9" w:rsidP="003071E0">
            <w:pPr>
              <w:spacing w:line="360" w:lineRule="auto"/>
            </w:pPr>
            <w:r>
              <w:t>Melbourne EpiCentre</w:t>
            </w:r>
          </w:p>
          <w:p w14:paraId="71160CEC" w14:textId="77777777" w:rsidR="008054B9" w:rsidRDefault="008054B9" w:rsidP="003071E0">
            <w:pPr>
              <w:spacing w:line="360" w:lineRule="auto"/>
            </w:pPr>
            <w:r>
              <w:t>Department of Medicine</w:t>
            </w:r>
          </w:p>
          <w:p w14:paraId="75FABD28" w14:textId="77777777" w:rsidR="008054B9" w:rsidRDefault="008054B9" w:rsidP="003071E0">
            <w:pPr>
              <w:spacing w:line="360" w:lineRule="auto"/>
            </w:pPr>
            <w:r>
              <w:t>Royal Melbourne Hospital and The University of Melbourne</w:t>
            </w:r>
          </w:p>
          <w:p w14:paraId="2F379873" w14:textId="77777777" w:rsidR="008054B9" w:rsidRDefault="008054B9" w:rsidP="003071E0">
            <w:pPr>
              <w:spacing w:line="480" w:lineRule="auto"/>
            </w:pPr>
          </w:p>
        </w:tc>
      </w:tr>
      <w:tr w:rsidR="008054B9" w14:paraId="6785496F" w14:textId="77777777">
        <w:tc>
          <w:tcPr>
            <w:tcW w:w="2943" w:type="dxa"/>
            <w:tcBorders>
              <w:top w:val="nil"/>
              <w:bottom w:val="nil"/>
            </w:tcBorders>
          </w:tcPr>
          <w:p w14:paraId="708789A8" w14:textId="77777777" w:rsidR="008054B9" w:rsidRDefault="008054B9" w:rsidP="003071E0">
            <w:pPr>
              <w:spacing w:line="480" w:lineRule="auto"/>
            </w:pPr>
            <w:r>
              <w:t>Contact Address</w:t>
            </w:r>
          </w:p>
        </w:tc>
        <w:tc>
          <w:tcPr>
            <w:tcW w:w="5573" w:type="dxa"/>
            <w:tcBorders>
              <w:top w:val="nil"/>
              <w:bottom w:val="nil"/>
            </w:tcBorders>
          </w:tcPr>
          <w:p w14:paraId="1AB8E2CE" w14:textId="77777777" w:rsidR="008054B9" w:rsidRDefault="008054B9" w:rsidP="003071E0">
            <w:pPr>
              <w:spacing w:line="480" w:lineRule="auto"/>
            </w:pPr>
            <w:r>
              <w:t>Melbourne EpiCentre, level 7E, Main Block</w:t>
            </w:r>
          </w:p>
          <w:p w14:paraId="41E1AB1D" w14:textId="77777777" w:rsidR="008054B9" w:rsidRDefault="008054B9" w:rsidP="003071E0">
            <w:pPr>
              <w:spacing w:line="480" w:lineRule="auto"/>
            </w:pPr>
            <w:r>
              <w:t>Royal Melbourne Hospital</w:t>
            </w:r>
          </w:p>
          <w:p w14:paraId="096E4CCF" w14:textId="77777777" w:rsidR="008054B9" w:rsidRDefault="008054B9" w:rsidP="003071E0">
            <w:pPr>
              <w:spacing w:line="480" w:lineRule="auto"/>
            </w:pPr>
            <w:r>
              <w:t>Grattan St, Parkville, Vic 3052</w:t>
            </w:r>
          </w:p>
        </w:tc>
      </w:tr>
      <w:tr w:rsidR="008054B9" w14:paraId="7DCF0CA3" w14:textId="77777777">
        <w:tc>
          <w:tcPr>
            <w:tcW w:w="2943" w:type="dxa"/>
            <w:tcBorders>
              <w:top w:val="nil"/>
              <w:bottom w:val="nil"/>
            </w:tcBorders>
          </w:tcPr>
          <w:p w14:paraId="7F5F15EA" w14:textId="77777777" w:rsidR="008054B9" w:rsidRDefault="008054B9" w:rsidP="003071E0">
            <w:pPr>
              <w:spacing w:line="480" w:lineRule="auto"/>
            </w:pPr>
            <w:r>
              <w:t>Telephone and fax numbers</w:t>
            </w:r>
          </w:p>
        </w:tc>
        <w:tc>
          <w:tcPr>
            <w:tcW w:w="5573" w:type="dxa"/>
            <w:tcBorders>
              <w:top w:val="nil"/>
              <w:bottom w:val="nil"/>
            </w:tcBorders>
          </w:tcPr>
          <w:p w14:paraId="7DD8B61A" w14:textId="77777777" w:rsidR="008054B9" w:rsidRDefault="008054B9" w:rsidP="003071E0">
            <w:pPr>
              <w:spacing w:line="480" w:lineRule="auto"/>
            </w:pPr>
            <w:r>
              <w:t xml:space="preserve">+61 401 036 232/ F: +61 3 </w:t>
            </w:r>
            <w:r w:rsidRPr="006E69DD">
              <w:t>9342 8760</w:t>
            </w:r>
          </w:p>
        </w:tc>
      </w:tr>
      <w:tr w:rsidR="008054B9" w14:paraId="49F2DFEF" w14:textId="77777777">
        <w:tc>
          <w:tcPr>
            <w:tcW w:w="2943" w:type="dxa"/>
            <w:tcBorders>
              <w:top w:val="nil"/>
              <w:bottom w:val="nil"/>
            </w:tcBorders>
          </w:tcPr>
          <w:p w14:paraId="0B24B989" w14:textId="77777777" w:rsidR="008054B9" w:rsidRDefault="008054B9" w:rsidP="003071E0">
            <w:pPr>
              <w:spacing w:line="480" w:lineRule="auto"/>
            </w:pPr>
            <w:r>
              <w:t>Email address</w:t>
            </w:r>
          </w:p>
        </w:tc>
        <w:tc>
          <w:tcPr>
            <w:tcW w:w="5573" w:type="dxa"/>
            <w:tcBorders>
              <w:top w:val="nil"/>
              <w:bottom w:val="nil"/>
            </w:tcBorders>
          </w:tcPr>
          <w:p w14:paraId="1AEE7B0A" w14:textId="77777777" w:rsidR="008054B9" w:rsidRDefault="005A256D" w:rsidP="003071E0">
            <w:pPr>
              <w:spacing w:line="480" w:lineRule="auto"/>
            </w:pPr>
            <w:hyperlink r:id="rId10" w:history="1">
              <w:r w:rsidR="008054B9" w:rsidRPr="00CE36CF">
                <w:rPr>
                  <w:rStyle w:val="Hyperlink"/>
                </w:rPr>
                <w:t>Megan.bohensky@unimelb.edu.au</w:t>
              </w:r>
            </w:hyperlink>
          </w:p>
        </w:tc>
      </w:tr>
      <w:tr w:rsidR="008054B9" w14:paraId="56007044" w14:textId="77777777">
        <w:tc>
          <w:tcPr>
            <w:tcW w:w="2943" w:type="dxa"/>
            <w:tcBorders>
              <w:top w:val="nil"/>
            </w:tcBorders>
          </w:tcPr>
          <w:p w14:paraId="0585C199" w14:textId="77777777" w:rsidR="008054B9" w:rsidRDefault="008054B9" w:rsidP="003071E0">
            <w:pPr>
              <w:spacing w:line="480" w:lineRule="auto"/>
            </w:pPr>
            <w:r>
              <w:t>Relationship with commercial companies</w:t>
            </w:r>
          </w:p>
        </w:tc>
        <w:tc>
          <w:tcPr>
            <w:tcW w:w="5573" w:type="dxa"/>
            <w:tcBorders>
              <w:top w:val="nil"/>
            </w:tcBorders>
          </w:tcPr>
          <w:p w14:paraId="7760C207" w14:textId="77777777" w:rsidR="008054B9" w:rsidRDefault="008054B9" w:rsidP="003071E0">
            <w:pPr>
              <w:spacing w:line="480" w:lineRule="auto"/>
            </w:pPr>
            <w:r>
              <w:t>None</w:t>
            </w:r>
          </w:p>
        </w:tc>
      </w:tr>
      <w:tr w:rsidR="008054B9" w14:paraId="01BA8265" w14:textId="77777777">
        <w:tc>
          <w:tcPr>
            <w:tcW w:w="2943" w:type="dxa"/>
            <w:tcBorders>
              <w:bottom w:val="single" w:sz="4" w:space="0" w:color="000000"/>
            </w:tcBorders>
          </w:tcPr>
          <w:p w14:paraId="69DFC5EE" w14:textId="77777777" w:rsidR="008054B9" w:rsidRDefault="008054B9" w:rsidP="003071E0">
            <w:pPr>
              <w:spacing w:line="480" w:lineRule="auto"/>
            </w:pPr>
          </w:p>
        </w:tc>
        <w:tc>
          <w:tcPr>
            <w:tcW w:w="5573" w:type="dxa"/>
            <w:tcBorders>
              <w:bottom w:val="single" w:sz="4" w:space="0" w:color="000000"/>
            </w:tcBorders>
          </w:tcPr>
          <w:p w14:paraId="48B92483" w14:textId="77777777" w:rsidR="008054B9" w:rsidRDefault="008054B9" w:rsidP="003071E0">
            <w:pPr>
              <w:spacing w:line="480" w:lineRule="auto"/>
            </w:pPr>
          </w:p>
        </w:tc>
      </w:tr>
      <w:tr w:rsidR="008054B9" w14:paraId="40AB8C78" w14:textId="77777777">
        <w:tc>
          <w:tcPr>
            <w:tcW w:w="2943" w:type="dxa"/>
            <w:tcBorders>
              <w:bottom w:val="nil"/>
            </w:tcBorders>
          </w:tcPr>
          <w:p w14:paraId="6B291722" w14:textId="77777777" w:rsidR="008054B9" w:rsidRDefault="008054B9" w:rsidP="003071E0">
            <w:pPr>
              <w:spacing w:line="480" w:lineRule="auto"/>
            </w:pPr>
            <w:r>
              <w:t>Name</w:t>
            </w:r>
          </w:p>
        </w:tc>
        <w:tc>
          <w:tcPr>
            <w:tcW w:w="5573" w:type="dxa"/>
            <w:tcBorders>
              <w:bottom w:val="nil"/>
            </w:tcBorders>
          </w:tcPr>
          <w:p w14:paraId="22696745" w14:textId="77777777" w:rsidR="008054B9" w:rsidRDefault="008054B9" w:rsidP="003071E0">
            <w:pPr>
              <w:spacing w:line="480" w:lineRule="auto"/>
            </w:pPr>
            <w:r>
              <w:t>Kim Bennell</w:t>
            </w:r>
          </w:p>
        </w:tc>
      </w:tr>
      <w:tr w:rsidR="008054B9" w14:paraId="6423FD5C" w14:textId="77777777">
        <w:tc>
          <w:tcPr>
            <w:tcW w:w="2943" w:type="dxa"/>
            <w:tcBorders>
              <w:top w:val="nil"/>
              <w:bottom w:val="nil"/>
            </w:tcBorders>
          </w:tcPr>
          <w:p w14:paraId="1038BF99" w14:textId="77777777" w:rsidR="008054B9" w:rsidRDefault="008054B9" w:rsidP="003071E0">
            <w:pPr>
              <w:spacing w:line="480" w:lineRule="auto"/>
            </w:pPr>
            <w:r>
              <w:t>Degrees</w:t>
            </w:r>
          </w:p>
        </w:tc>
        <w:tc>
          <w:tcPr>
            <w:tcW w:w="5573" w:type="dxa"/>
            <w:tcBorders>
              <w:top w:val="nil"/>
              <w:bottom w:val="nil"/>
            </w:tcBorders>
          </w:tcPr>
          <w:p w14:paraId="6C1B088D" w14:textId="77777777" w:rsidR="008054B9" w:rsidRDefault="008054B9" w:rsidP="003071E0">
            <w:pPr>
              <w:spacing w:line="480" w:lineRule="auto"/>
            </w:pPr>
            <w:r>
              <w:t>PhD</w:t>
            </w:r>
          </w:p>
        </w:tc>
      </w:tr>
      <w:tr w:rsidR="008054B9" w14:paraId="256130D6" w14:textId="77777777">
        <w:tc>
          <w:tcPr>
            <w:tcW w:w="2943" w:type="dxa"/>
            <w:tcBorders>
              <w:top w:val="nil"/>
              <w:bottom w:val="nil"/>
            </w:tcBorders>
          </w:tcPr>
          <w:p w14:paraId="53BBA13D" w14:textId="77777777" w:rsidR="008054B9" w:rsidRDefault="008054B9" w:rsidP="003071E0">
            <w:pPr>
              <w:spacing w:line="480" w:lineRule="auto"/>
            </w:pPr>
            <w:r>
              <w:t>Affiliations</w:t>
            </w:r>
          </w:p>
        </w:tc>
        <w:tc>
          <w:tcPr>
            <w:tcW w:w="5573" w:type="dxa"/>
            <w:tcBorders>
              <w:top w:val="nil"/>
              <w:bottom w:val="nil"/>
            </w:tcBorders>
          </w:tcPr>
          <w:p w14:paraId="602593CC" w14:textId="77777777" w:rsidR="008054B9" w:rsidRDefault="008054B9" w:rsidP="003071E0">
            <w:pPr>
              <w:spacing w:line="480" w:lineRule="auto"/>
            </w:pPr>
            <w:r>
              <w:t>Centre for Health, Exercise and Sports Medicine,</w:t>
            </w:r>
          </w:p>
          <w:p w14:paraId="1CA3F5DE" w14:textId="77777777" w:rsidR="008054B9" w:rsidRDefault="008054B9" w:rsidP="003071E0">
            <w:pPr>
              <w:spacing w:line="480" w:lineRule="auto"/>
            </w:pPr>
            <w:r>
              <w:t>Department of Physiotherapy,</w:t>
            </w:r>
          </w:p>
          <w:p w14:paraId="591C09AF" w14:textId="77777777" w:rsidR="008054B9" w:rsidRDefault="008054B9" w:rsidP="003071E0">
            <w:pPr>
              <w:spacing w:line="480" w:lineRule="auto"/>
            </w:pPr>
            <w:r>
              <w:t>School of Health Sciences,</w:t>
            </w:r>
          </w:p>
          <w:p w14:paraId="23AC55B8" w14:textId="77777777" w:rsidR="008054B9" w:rsidRDefault="008054B9" w:rsidP="003071E0">
            <w:pPr>
              <w:spacing w:line="480" w:lineRule="auto"/>
            </w:pPr>
            <w:r>
              <w:t>University of Melbourne</w:t>
            </w:r>
          </w:p>
        </w:tc>
      </w:tr>
      <w:tr w:rsidR="008054B9" w14:paraId="1727D2DF" w14:textId="77777777">
        <w:tc>
          <w:tcPr>
            <w:tcW w:w="2943" w:type="dxa"/>
            <w:tcBorders>
              <w:top w:val="nil"/>
              <w:bottom w:val="nil"/>
            </w:tcBorders>
          </w:tcPr>
          <w:p w14:paraId="1C9B560A" w14:textId="77777777" w:rsidR="008054B9" w:rsidRDefault="008054B9" w:rsidP="003071E0">
            <w:pPr>
              <w:spacing w:line="480" w:lineRule="auto"/>
            </w:pPr>
            <w:r>
              <w:t>Contact Address</w:t>
            </w:r>
          </w:p>
        </w:tc>
        <w:tc>
          <w:tcPr>
            <w:tcW w:w="5573" w:type="dxa"/>
            <w:tcBorders>
              <w:top w:val="nil"/>
              <w:bottom w:val="nil"/>
            </w:tcBorders>
          </w:tcPr>
          <w:p w14:paraId="0E407E60" w14:textId="77777777" w:rsidR="008054B9" w:rsidRDefault="008054B9" w:rsidP="003071E0">
            <w:pPr>
              <w:spacing w:line="480" w:lineRule="auto"/>
            </w:pPr>
            <w:r>
              <w:t>Department of Physiotherapy,</w:t>
            </w:r>
          </w:p>
          <w:p w14:paraId="5B3CD9F4" w14:textId="77777777" w:rsidR="008054B9" w:rsidRDefault="008054B9" w:rsidP="003071E0">
            <w:pPr>
              <w:spacing w:line="480" w:lineRule="auto"/>
            </w:pPr>
            <w:r>
              <w:t>University of Melbourne,</w:t>
            </w:r>
          </w:p>
          <w:p w14:paraId="48823E81" w14:textId="77777777" w:rsidR="008054B9" w:rsidRDefault="008054B9" w:rsidP="003071E0">
            <w:pPr>
              <w:spacing w:line="480" w:lineRule="auto"/>
            </w:pPr>
            <w:r>
              <w:t>Parkville,</w:t>
            </w:r>
          </w:p>
          <w:p w14:paraId="47A4C509" w14:textId="77777777" w:rsidR="008054B9" w:rsidRDefault="008054B9" w:rsidP="003071E0">
            <w:pPr>
              <w:spacing w:line="480" w:lineRule="auto"/>
            </w:pPr>
            <w:r>
              <w:t>Vic 3010</w:t>
            </w:r>
          </w:p>
        </w:tc>
      </w:tr>
      <w:tr w:rsidR="008054B9" w14:paraId="52FE28FD" w14:textId="77777777">
        <w:tc>
          <w:tcPr>
            <w:tcW w:w="2943" w:type="dxa"/>
            <w:tcBorders>
              <w:top w:val="nil"/>
              <w:bottom w:val="nil"/>
            </w:tcBorders>
          </w:tcPr>
          <w:p w14:paraId="6DD17E5D" w14:textId="77777777" w:rsidR="008054B9" w:rsidRDefault="008054B9" w:rsidP="003071E0">
            <w:pPr>
              <w:spacing w:line="480" w:lineRule="auto"/>
            </w:pPr>
            <w:r>
              <w:t>Telephone and fax numbers</w:t>
            </w:r>
          </w:p>
        </w:tc>
        <w:tc>
          <w:tcPr>
            <w:tcW w:w="5573" w:type="dxa"/>
            <w:tcBorders>
              <w:top w:val="nil"/>
              <w:bottom w:val="nil"/>
            </w:tcBorders>
          </w:tcPr>
          <w:p w14:paraId="18E9AF52" w14:textId="77777777" w:rsidR="008054B9" w:rsidRDefault="008054B9" w:rsidP="003071E0">
            <w:pPr>
              <w:spacing w:line="480" w:lineRule="auto"/>
            </w:pPr>
            <w:r>
              <w:t>+ 61 3 83444135</w:t>
            </w:r>
          </w:p>
          <w:p w14:paraId="57F7A83E" w14:textId="77777777" w:rsidR="008054B9" w:rsidRDefault="008054B9" w:rsidP="003071E0">
            <w:pPr>
              <w:spacing w:line="480" w:lineRule="auto"/>
            </w:pPr>
            <w:r>
              <w:t>+ 61 3 83444188</w:t>
            </w:r>
          </w:p>
        </w:tc>
      </w:tr>
      <w:tr w:rsidR="008054B9" w14:paraId="6009A84A" w14:textId="77777777">
        <w:tc>
          <w:tcPr>
            <w:tcW w:w="2943" w:type="dxa"/>
            <w:tcBorders>
              <w:top w:val="nil"/>
              <w:bottom w:val="nil"/>
            </w:tcBorders>
          </w:tcPr>
          <w:p w14:paraId="7B776346" w14:textId="77777777" w:rsidR="008054B9" w:rsidRDefault="008054B9" w:rsidP="003071E0">
            <w:pPr>
              <w:spacing w:line="480" w:lineRule="auto"/>
            </w:pPr>
            <w:r>
              <w:t>Email address</w:t>
            </w:r>
          </w:p>
        </w:tc>
        <w:tc>
          <w:tcPr>
            <w:tcW w:w="5573" w:type="dxa"/>
            <w:tcBorders>
              <w:top w:val="nil"/>
              <w:bottom w:val="nil"/>
            </w:tcBorders>
          </w:tcPr>
          <w:p w14:paraId="2E286DD1" w14:textId="77777777" w:rsidR="008054B9" w:rsidRDefault="008054B9" w:rsidP="003071E0">
            <w:pPr>
              <w:spacing w:line="480" w:lineRule="auto"/>
            </w:pPr>
            <w:r>
              <w:t>k.bennell@unimelb.edu.au</w:t>
            </w:r>
          </w:p>
        </w:tc>
      </w:tr>
      <w:tr w:rsidR="008054B9" w14:paraId="505C2674" w14:textId="77777777">
        <w:tc>
          <w:tcPr>
            <w:tcW w:w="2943" w:type="dxa"/>
            <w:tcBorders>
              <w:top w:val="nil"/>
            </w:tcBorders>
          </w:tcPr>
          <w:p w14:paraId="6D8A1604" w14:textId="77777777" w:rsidR="008054B9" w:rsidRDefault="008054B9" w:rsidP="003071E0">
            <w:pPr>
              <w:spacing w:line="480" w:lineRule="auto"/>
            </w:pPr>
            <w:r>
              <w:t>Relationship with commercial companies</w:t>
            </w:r>
          </w:p>
        </w:tc>
        <w:tc>
          <w:tcPr>
            <w:tcW w:w="5573" w:type="dxa"/>
            <w:tcBorders>
              <w:top w:val="nil"/>
            </w:tcBorders>
          </w:tcPr>
          <w:p w14:paraId="657B904F" w14:textId="77777777" w:rsidR="008054B9" w:rsidRDefault="008054B9" w:rsidP="003071E0">
            <w:pPr>
              <w:spacing w:line="480" w:lineRule="auto"/>
            </w:pPr>
            <w:r>
              <w:t xml:space="preserve">Receives royalties from ASICS Oceania Pty Ltd </w:t>
            </w:r>
          </w:p>
        </w:tc>
      </w:tr>
    </w:tbl>
    <w:p w14:paraId="7A3BFE5D" w14:textId="77777777" w:rsidR="008054B9" w:rsidRDefault="008054B9" w:rsidP="003071E0">
      <w:pPr>
        <w:spacing w:line="480" w:lineRule="auto"/>
      </w:pPr>
    </w:p>
    <w:p w14:paraId="6A9A27E6" w14:textId="77777777" w:rsidR="008054B9" w:rsidRDefault="008054B9" w:rsidP="003071E0">
      <w:pPr>
        <w:spacing w:line="480" w:lineRule="auto"/>
      </w:pPr>
      <w:r w:rsidRPr="00960EFF">
        <w:rPr>
          <w:b/>
        </w:rPr>
        <w:t>Keywords</w:t>
      </w:r>
      <w:r>
        <w:t xml:space="preserve">  osteoarthritis, Knee, Hip, Hand, quality of care, models of care</w:t>
      </w:r>
      <w:r>
        <w:tab/>
      </w:r>
    </w:p>
    <w:p w14:paraId="36F994F9" w14:textId="77777777" w:rsidR="008054B9" w:rsidRDefault="008054B9" w:rsidP="003071E0">
      <w:pPr>
        <w:spacing w:line="480" w:lineRule="auto"/>
        <w:rPr>
          <w:b/>
        </w:rPr>
      </w:pPr>
    </w:p>
    <w:p w14:paraId="1FD4D5F2" w14:textId="77777777" w:rsidR="008054B9" w:rsidRDefault="008054B9" w:rsidP="003071E0">
      <w:pPr>
        <w:spacing w:line="480" w:lineRule="auto"/>
        <w:rPr>
          <w:b/>
        </w:rPr>
      </w:pPr>
    </w:p>
    <w:p w14:paraId="43207550" w14:textId="77777777" w:rsidR="008054B9" w:rsidRPr="00581E0E" w:rsidRDefault="008054B9" w:rsidP="003071E0">
      <w:pPr>
        <w:spacing w:line="480" w:lineRule="auto"/>
        <w:rPr>
          <w:b/>
        </w:rPr>
      </w:pPr>
      <w:r w:rsidRPr="00581E0E">
        <w:rPr>
          <w:b/>
        </w:rPr>
        <w:t>Synopsis</w:t>
      </w:r>
    </w:p>
    <w:p w14:paraId="4F415414" w14:textId="77777777" w:rsidR="008054B9" w:rsidRDefault="008054B9" w:rsidP="003071E0">
      <w:pPr>
        <w:spacing w:line="480" w:lineRule="auto"/>
      </w:pPr>
    </w:p>
    <w:p w14:paraId="18437130" w14:textId="77777777" w:rsidR="008054B9" w:rsidRDefault="008054B9" w:rsidP="003071E0">
      <w:pPr>
        <w:spacing w:line="480" w:lineRule="auto"/>
      </w:pPr>
      <w:r>
        <w:t xml:space="preserve">Osteoarthritis is the most prevalent chronic joint disease worldwide. The incidence and prevalence is increasing as the population ages and lifestyle risk factors such as obesity increase. There are a number of evidence-based clinical practice guidelines available to guide clinician decision-making, however there is evidence that care provided is suboptimal across all domains of quality; effectiveness, safety, timeliness and appropriateness, patient-centred care and efficiency. </w:t>
      </w:r>
    </w:p>
    <w:p w14:paraId="6E5A03D2" w14:textId="77777777" w:rsidR="008054B9" w:rsidRDefault="008054B9" w:rsidP="003071E0">
      <w:pPr>
        <w:spacing w:line="480" w:lineRule="auto"/>
      </w:pPr>
      <w:r>
        <w:t xml:space="preserve">There are system, clinician and patient barriers to optimizing care that need to be addressed. Service models must be redesigned to meet patient needs and those at risk through; use of clinical information systems that can identify those at risk and monitor performance, provision of decision support at the point of care for clinicians and consumers; provision of team based care, support for patient self-management including sustained lifestyle behaviour change, and improved linkages between clinicians and community groups. </w:t>
      </w:r>
    </w:p>
    <w:p w14:paraId="0E5170C6" w14:textId="77777777" w:rsidR="008054B9" w:rsidRDefault="008054B9" w:rsidP="003071E0">
      <w:pPr>
        <w:spacing w:line="480" w:lineRule="auto"/>
      </w:pPr>
      <w:r>
        <w:t xml:space="preserve">In view of the current and increasing burden of OA and clinical workforce shortages, innovative models must be developed and tested for OA prevention and for supporting people with established OA, that rely less on clinician input and more on harnessing existing social networks or developing new ones. </w:t>
      </w:r>
    </w:p>
    <w:p w14:paraId="65601B8B" w14:textId="77777777" w:rsidR="008054B9" w:rsidRDefault="008054B9" w:rsidP="003071E0">
      <w:pPr>
        <w:spacing w:line="480" w:lineRule="auto"/>
      </w:pPr>
    </w:p>
    <w:p w14:paraId="330D8581" w14:textId="77777777" w:rsidR="008054B9" w:rsidRDefault="008054B9" w:rsidP="003071E0">
      <w:pPr>
        <w:pStyle w:val="Heading2"/>
        <w:spacing w:line="480" w:lineRule="auto"/>
        <w:rPr>
          <w:rFonts w:ascii="Times New Roman" w:hAnsi="Times New Roman"/>
          <w:b w:val="0"/>
          <w:i w:val="0"/>
          <w:sz w:val="22"/>
        </w:rPr>
        <w:sectPr w:rsidR="008054B9">
          <w:headerReference w:type="even" r:id="rId11"/>
          <w:headerReference w:type="default" r:id="rId12"/>
          <w:footerReference w:type="even" r:id="rId13"/>
          <w:footerReference w:type="default" r:id="rId14"/>
          <w:headerReference w:type="first" r:id="rId15"/>
          <w:footerReference w:type="first" r:id="rId16"/>
          <w:pgSz w:w="11900" w:h="16840"/>
          <w:pgMar w:top="1440" w:right="1800" w:bottom="1440" w:left="1800" w:header="708" w:footer="708" w:gutter="0"/>
          <w:cols w:space="708"/>
        </w:sectPr>
      </w:pPr>
    </w:p>
    <w:p w14:paraId="28C76FD2" w14:textId="77777777" w:rsidR="008054B9" w:rsidRPr="00166BA8" w:rsidRDefault="008054B9" w:rsidP="003071E0">
      <w:pPr>
        <w:pStyle w:val="Heading2"/>
        <w:spacing w:line="480" w:lineRule="auto"/>
        <w:rPr>
          <w:rFonts w:ascii="Times New Roman" w:hAnsi="Times New Roman"/>
          <w:b w:val="0"/>
          <w:i w:val="0"/>
          <w:sz w:val="22"/>
        </w:rPr>
      </w:pPr>
    </w:p>
    <w:p w14:paraId="0619897C" w14:textId="77777777" w:rsidR="008054B9" w:rsidRPr="00AE0E83" w:rsidRDefault="008054B9" w:rsidP="003071E0">
      <w:pPr>
        <w:pStyle w:val="Heading2"/>
        <w:spacing w:line="480" w:lineRule="auto"/>
        <w:rPr>
          <w:rFonts w:ascii="Times New Roman" w:hAnsi="Times New Roman"/>
          <w:sz w:val="22"/>
        </w:rPr>
      </w:pPr>
      <w:r w:rsidRPr="00AE0E83">
        <w:rPr>
          <w:rFonts w:ascii="Times New Roman" w:hAnsi="Times New Roman"/>
          <w:sz w:val="22"/>
        </w:rPr>
        <w:t>Background</w:t>
      </w:r>
      <w:r>
        <w:rPr>
          <w:rFonts w:ascii="Times New Roman" w:hAnsi="Times New Roman"/>
          <w:sz w:val="22"/>
        </w:rPr>
        <w:t xml:space="preserve"> </w:t>
      </w:r>
    </w:p>
    <w:p w14:paraId="1CBC0462" w14:textId="77777777" w:rsidR="008054B9" w:rsidRPr="00AE0E83" w:rsidRDefault="008054B9" w:rsidP="003071E0">
      <w:pPr>
        <w:spacing w:line="480" w:lineRule="auto"/>
        <w:jc w:val="both"/>
        <w:rPr>
          <w:b/>
          <w:sz w:val="22"/>
        </w:rPr>
      </w:pPr>
    </w:p>
    <w:p w14:paraId="7400EF20" w14:textId="77777777" w:rsidR="008054B9" w:rsidRDefault="008054B9" w:rsidP="003071E0">
      <w:pPr>
        <w:spacing w:line="480" w:lineRule="auto"/>
        <w:ind w:firstLine="720"/>
        <w:jc w:val="both"/>
        <w:rPr>
          <w:sz w:val="22"/>
        </w:rPr>
      </w:pPr>
      <w:r w:rsidRPr="00AE0E83">
        <w:rPr>
          <w:sz w:val="22"/>
        </w:rPr>
        <w:t>Osteoarthritis (OA) is the most common chronic joint disease. It is highly prevalent and a leading cause of disability worldwide</w:t>
      </w:r>
      <w:r>
        <w:rPr>
          <w:sz w:val="22"/>
        </w:rPr>
        <w:t>.</w:t>
      </w:r>
      <w:r>
        <w:rPr>
          <w:noProof/>
          <w:sz w:val="22"/>
        </w:rPr>
        <w:t>(1)</w:t>
      </w:r>
      <w:r>
        <w:rPr>
          <w:sz w:val="22"/>
        </w:rPr>
        <w:t xml:space="preserve"> </w:t>
      </w:r>
      <w:r w:rsidRPr="00AE0E83">
        <w:rPr>
          <w:sz w:val="22"/>
        </w:rPr>
        <w:t xml:space="preserve">As such, OA poses a substantial societal burden, predominantly due to growing health care costs and lost productivity. The rising incidence and prevalence of chronic diseases such as OA is driving health care reform internationally, particularly health care redesign to provide service models that </w:t>
      </w:r>
      <w:r>
        <w:rPr>
          <w:sz w:val="22"/>
        </w:rPr>
        <w:t xml:space="preserve">better </w:t>
      </w:r>
      <w:r w:rsidRPr="00AE0E83">
        <w:rPr>
          <w:sz w:val="22"/>
        </w:rPr>
        <w:t xml:space="preserve">support </w:t>
      </w:r>
      <w:r>
        <w:rPr>
          <w:sz w:val="22"/>
        </w:rPr>
        <w:t>the needs of people with these conditions.</w:t>
      </w:r>
      <w:r>
        <w:rPr>
          <w:noProof/>
          <w:sz w:val="22"/>
        </w:rPr>
        <w:t>(2)</w:t>
      </w:r>
      <w:r w:rsidRPr="00AE0E83">
        <w:rPr>
          <w:sz w:val="22"/>
        </w:rPr>
        <w:t xml:space="preserve"> </w:t>
      </w:r>
    </w:p>
    <w:p w14:paraId="62E2A26C" w14:textId="77777777" w:rsidR="008054B9" w:rsidRPr="00AE0E83" w:rsidRDefault="008054B9" w:rsidP="003071E0">
      <w:pPr>
        <w:spacing w:line="480" w:lineRule="auto"/>
        <w:ind w:firstLine="720"/>
        <w:jc w:val="both"/>
        <w:rPr>
          <w:sz w:val="22"/>
        </w:rPr>
      </w:pPr>
      <w:r w:rsidRPr="00AE0E83">
        <w:rPr>
          <w:sz w:val="22"/>
        </w:rPr>
        <w:t xml:space="preserve">In addition, as greater attention is focused towards resolving gaps in implementing evidence into practice and preventing underuse, overuse and sometimes misuse of effective interventions, a previously narrow focus on clinical outcomes such as mortality has expanded to consider </w:t>
      </w:r>
      <w:r>
        <w:rPr>
          <w:sz w:val="22"/>
        </w:rPr>
        <w:t xml:space="preserve">broader </w:t>
      </w:r>
      <w:r w:rsidRPr="00AE0E83">
        <w:rPr>
          <w:sz w:val="22"/>
        </w:rPr>
        <w:t>measurement of quality of care. The Institute of Medicine in the United States</w:t>
      </w:r>
      <w:r>
        <w:rPr>
          <w:sz w:val="22"/>
        </w:rPr>
        <w:t xml:space="preserve"> advocate for </w:t>
      </w:r>
      <w:r w:rsidRPr="00AE0E83">
        <w:rPr>
          <w:sz w:val="22"/>
        </w:rPr>
        <w:t xml:space="preserve">6 pillars </w:t>
      </w:r>
      <w:r>
        <w:rPr>
          <w:sz w:val="22"/>
        </w:rPr>
        <w:t>to</w:t>
      </w:r>
      <w:r w:rsidRPr="00AE0E83">
        <w:rPr>
          <w:sz w:val="22"/>
        </w:rPr>
        <w:t xml:space="preserve"> improv</w:t>
      </w:r>
      <w:r>
        <w:rPr>
          <w:sz w:val="22"/>
        </w:rPr>
        <w:t>e</w:t>
      </w:r>
      <w:r w:rsidRPr="00AE0E83">
        <w:rPr>
          <w:sz w:val="22"/>
        </w:rPr>
        <w:t xml:space="preserve"> care</w:t>
      </w:r>
      <w:r>
        <w:rPr>
          <w:sz w:val="22"/>
        </w:rPr>
        <w:t xml:space="preserve">; </w:t>
      </w:r>
      <w:r w:rsidRPr="00AE0E83">
        <w:rPr>
          <w:sz w:val="22"/>
        </w:rPr>
        <w:t>safe</w:t>
      </w:r>
      <w:r>
        <w:rPr>
          <w:sz w:val="22"/>
        </w:rPr>
        <w:t>ty</w:t>
      </w:r>
      <w:r w:rsidRPr="00AE0E83">
        <w:rPr>
          <w:sz w:val="22"/>
        </w:rPr>
        <w:t>, effective</w:t>
      </w:r>
      <w:r>
        <w:rPr>
          <w:sz w:val="22"/>
        </w:rPr>
        <w:t>ness</w:t>
      </w:r>
      <w:r w:rsidRPr="00AE0E83">
        <w:rPr>
          <w:sz w:val="22"/>
        </w:rPr>
        <w:t>, patient-centred</w:t>
      </w:r>
      <w:r>
        <w:rPr>
          <w:sz w:val="22"/>
        </w:rPr>
        <w:t xml:space="preserve"> care, timeliness</w:t>
      </w:r>
      <w:r w:rsidRPr="00AE0E83">
        <w:rPr>
          <w:sz w:val="22"/>
        </w:rPr>
        <w:t>, efficien</w:t>
      </w:r>
      <w:r>
        <w:rPr>
          <w:sz w:val="22"/>
        </w:rPr>
        <w:t>cy</w:t>
      </w:r>
      <w:r w:rsidRPr="00AE0E83">
        <w:rPr>
          <w:sz w:val="22"/>
        </w:rPr>
        <w:t xml:space="preserve"> and equit</w:t>
      </w:r>
      <w:r>
        <w:rPr>
          <w:sz w:val="22"/>
        </w:rPr>
        <w:t>y (Table 1)</w:t>
      </w:r>
      <w:r w:rsidRPr="00AE0E83">
        <w:rPr>
          <w:sz w:val="22"/>
        </w:rPr>
        <w:t>.</w:t>
      </w:r>
      <w:r>
        <w:rPr>
          <w:noProof/>
          <w:sz w:val="22"/>
        </w:rPr>
        <w:t>(2)</w:t>
      </w:r>
      <w:r w:rsidRPr="00AE0E83">
        <w:rPr>
          <w:sz w:val="22"/>
        </w:rPr>
        <w:t xml:space="preserve"> </w:t>
      </w:r>
    </w:p>
    <w:p w14:paraId="2B7DF68E" w14:textId="77777777" w:rsidR="008054B9" w:rsidRPr="00AE0E83" w:rsidRDefault="008054B9" w:rsidP="003071E0">
      <w:pPr>
        <w:spacing w:line="480" w:lineRule="auto"/>
        <w:ind w:firstLine="720"/>
        <w:jc w:val="both"/>
        <w:rPr>
          <w:sz w:val="22"/>
        </w:rPr>
      </w:pPr>
      <w:r>
        <w:rPr>
          <w:sz w:val="22"/>
        </w:rPr>
        <w:t>There is useful existing commentary about the ways in which we can improve care for people with OA.</w:t>
      </w:r>
      <w:r>
        <w:rPr>
          <w:noProof/>
          <w:sz w:val="22"/>
        </w:rPr>
        <w:t>(3-7)</w:t>
      </w:r>
      <w:r w:rsidRPr="00AE0E83">
        <w:rPr>
          <w:sz w:val="22"/>
        </w:rPr>
        <w:t xml:space="preserve"> In this article we </w:t>
      </w:r>
      <w:r>
        <w:rPr>
          <w:sz w:val="22"/>
        </w:rPr>
        <w:t xml:space="preserve">build on these sources by exploring system, health care provider and patient barriers and enablers to improving care for OA in relation to the Institute of Medicine 6 pillars for improving chronic care health services.   </w:t>
      </w:r>
    </w:p>
    <w:p w14:paraId="1A687FF4" w14:textId="77777777" w:rsidR="008054B9" w:rsidRPr="00AE0E83" w:rsidRDefault="008054B9" w:rsidP="003071E0">
      <w:pPr>
        <w:spacing w:line="480" w:lineRule="auto"/>
        <w:jc w:val="both"/>
        <w:rPr>
          <w:b/>
          <w:sz w:val="22"/>
        </w:rPr>
      </w:pPr>
    </w:p>
    <w:p w14:paraId="3601695D" w14:textId="77777777" w:rsidR="008054B9" w:rsidRPr="00AE0E83" w:rsidRDefault="008054B9" w:rsidP="003071E0">
      <w:pPr>
        <w:pStyle w:val="Heading2"/>
        <w:spacing w:line="480" w:lineRule="auto"/>
        <w:rPr>
          <w:rFonts w:ascii="Times New Roman" w:hAnsi="Times New Roman"/>
          <w:sz w:val="22"/>
        </w:rPr>
      </w:pPr>
      <w:r w:rsidRPr="00AE0E83">
        <w:rPr>
          <w:rFonts w:ascii="Times New Roman" w:hAnsi="Times New Roman"/>
          <w:sz w:val="22"/>
        </w:rPr>
        <w:t>Current performance in management of OA</w:t>
      </w:r>
    </w:p>
    <w:p w14:paraId="6F33F7B0" w14:textId="77777777" w:rsidR="008054B9" w:rsidRPr="00AE0E83" w:rsidRDefault="008054B9" w:rsidP="003071E0">
      <w:pPr>
        <w:spacing w:line="480" w:lineRule="auto"/>
        <w:jc w:val="both"/>
        <w:rPr>
          <w:b/>
          <w:sz w:val="22"/>
        </w:rPr>
      </w:pPr>
    </w:p>
    <w:p w14:paraId="37B21226" w14:textId="77777777" w:rsidR="008054B9" w:rsidRPr="00AE0E83" w:rsidRDefault="008054B9" w:rsidP="003071E0">
      <w:pPr>
        <w:spacing w:line="480" w:lineRule="auto"/>
        <w:ind w:firstLine="720"/>
        <w:jc w:val="both"/>
        <w:rPr>
          <w:sz w:val="22"/>
        </w:rPr>
      </w:pPr>
      <w:r w:rsidRPr="00AE0E83">
        <w:rPr>
          <w:sz w:val="22"/>
        </w:rPr>
        <w:t xml:space="preserve">Recommendations for OA care can be found in a number of </w:t>
      </w:r>
      <w:r>
        <w:rPr>
          <w:sz w:val="22"/>
        </w:rPr>
        <w:t xml:space="preserve">jurisdictional evidence-based </w:t>
      </w:r>
      <w:r w:rsidRPr="00AE0E83">
        <w:rPr>
          <w:sz w:val="22"/>
        </w:rPr>
        <w:t xml:space="preserve"> clinical practice guidelines</w:t>
      </w:r>
      <w:r>
        <w:rPr>
          <w:sz w:val="22"/>
        </w:rPr>
        <w:t>,</w:t>
      </w:r>
      <w:r>
        <w:rPr>
          <w:noProof/>
          <w:sz w:val="22"/>
        </w:rPr>
        <w:t>(8-12)</w:t>
      </w:r>
      <w:r>
        <w:rPr>
          <w:sz w:val="22"/>
        </w:rPr>
        <w:t xml:space="preserve"> </w:t>
      </w:r>
      <w:r w:rsidRPr="00AE0E83">
        <w:rPr>
          <w:sz w:val="22"/>
        </w:rPr>
        <w:t>the most recent of which are the American College of Rheumatology 2012 updated guidelines for conservative management of hand, hip and knee OA.</w:t>
      </w:r>
      <w:r>
        <w:rPr>
          <w:noProof/>
          <w:sz w:val="22"/>
        </w:rPr>
        <w:t>(10)</w:t>
      </w:r>
      <w:r w:rsidRPr="00AE0E83">
        <w:rPr>
          <w:sz w:val="22"/>
        </w:rPr>
        <w:t xml:space="preserve"> The degree to which current practice reflects these guidelines is uncertain as it is difficult to access data about longitudinal performance in the management of OA. The exception to this is joint </w:t>
      </w:r>
      <w:r>
        <w:rPr>
          <w:sz w:val="22"/>
        </w:rPr>
        <w:t>arthroplasty</w:t>
      </w:r>
      <w:r w:rsidRPr="00AE0E83">
        <w:rPr>
          <w:sz w:val="22"/>
        </w:rPr>
        <w:t xml:space="preserve"> where high quality clinical registries are maintained to monitor joint prosthesis survival outcomes and </w:t>
      </w:r>
      <w:r>
        <w:rPr>
          <w:sz w:val="22"/>
        </w:rPr>
        <w:t>limited</w:t>
      </w:r>
      <w:r w:rsidRPr="00AE0E83">
        <w:rPr>
          <w:sz w:val="22"/>
        </w:rPr>
        <w:t xml:space="preserve"> </w:t>
      </w:r>
      <w:r>
        <w:rPr>
          <w:sz w:val="22"/>
        </w:rPr>
        <w:t>patient</w:t>
      </w:r>
      <w:r w:rsidRPr="00AE0E83">
        <w:rPr>
          <w:sz w:val="22"/>
        </w:rPr>
        <w:t xml:space="preserve"> outcomes, such as revision rates and mortality. </w:t>
      </w:r>
    </w:p>
    <w:p w14:paraId="456F1558" w14:textId="77777777" w:rsidR="008054B9" w:rsidRPr="00AE0E83" w:rsidRDefault="008054B9" w:rsidP="003071E0">
      <w:pPr>
        <w:spacing w:line="480" w:lineRule="auto"/>
        <w:jc w:val="both"/>
        <w:rPr>
          <w:sz w:val="22"/>
        </w:rPr>
      </w:pPr>
    </w:p>
    <w:p w14:paraId="5192AD21" w14:textId="77777777" w:rsidR="008054B9" w:rsidRPr="00AE0E83" w:rsidRDefault="008054B9" w:rsidP="003071E0">
      <w:pPr>
        <w:spacing w:line="480" w:lineRule="auto"/>
        <w:ind w:firstLine="720"/>
        <w:jc w:val="both"/>
        <w:rPr>
          <w:sz w:val="22"/>
        </w:rPr>
      </w:pPr>
      <w:r w:rsidRPr="00AE0E83">
        <w:rPr>
          <w:sz w:val="22"/>
        </w:rPr>
        <w:t>Data from previous studies indicate that up to one-third of people with chronic conditions in general do not receive recommended care</w:t>
      </w:r>
      <w:r>
        <w:rPr>
          <w:sz w:val="22"/>
        </w:rPr>
        <w:t>,</w:t>
      </w:r>
      <w:r>
        <w:rPr>
          <w:noProof/>
          <w:sz w:val="22"/>
        </w:rPr>
        <w:t>(13, 14)</w:t>
      </w:r>
      <w:r>
        <w:rPr>
          <w:sz w:val="22"/>
        </w:rPr>
        <w:t xml:space="preserve"> Suboptimal care may be even higher for those with OA with one study reporting an average indicator pass rate for primary care of only 57%.</w:t>
      </w:r>
      <w:r>
        <w:rPr>
          <w:noProof/>
          <w:sz w:val="22"/>
        </w:rPr>
        <w:t>(15)</w:t>
      </w:r>
      <w:r>
        <w:rPr>
          <w:sz w:val="22"/>
        </w:rPr>
        <w:t xml:space="preserve"> </w:t>
      </w:r>
      <w:r w:rsidRPr="00AE0E83">
        <w:rPr>
          <w:sz w:val="22"/>
        </w:rPr>
        <w:t>For OA, there is reported suboptimal use of effective interventions,</w:t>
      </w:r>
      <w:r>
        <w:rPr>
          <w:sz w:val="22"/>
        </w:rPr>
        <w:t xml:space="preserve"> </w:t>
      </w:r>
      <w:r>
        <w:rPr>
          <w:noProof/>
          <w:sz w:val="22"/>
        </w:rPr>
        <w:t>(15-20)</w:t>
      </w:r>
      <w:r>
        <w:rPr>
          <w:sz w:val="22"/>
        </w:rPr>
        <w:t xml:space="preserve"> </w:t>
      </w:r>
      <w:r w:rsidRPr="00AE0E83">
        <w:rPr>
          <w:sz w:val="22"/>
        </w:rPr>
        <w:t xml:space="preserve">inequity in access to </w:t>
      </w:r>
      <w:r>
        <w:rPr>
          <w:sz w:val="22"/>
        </w:rPr>
        <w:t>arthroplasty,</w:t>
      </w:r>
      <w:r>
        <w:rPr>
          <w:noProof/>
          <w:sz w:val="22"/>
        </w:rPr>
        <w:t>(21-23)</w:t>
      </w:r>
      <w:r w:rsidRPr="00AE0E83">
        <w:rPr>
          <w:sz w:val="22"/>
        </w:rPr>
        <w:t xml:space="preserve"> inappropriate use of arthroscopy</w:t>
      </w:r>
      <w:r>
        <w:rPr>
          <w:sz w:val="22"/>
        </w:rPr>
        <w:t>,</w:t>
      </w:r>
      <w:r>
        <w:rPr>
          <w:noProof/>
          <w:sz w:val="22"/>
        </w:rPr>
        <w:t>(24-26)</w:t>
      </w:r>
      <w:r>
        <w:rPr>
          <w:sz w:val="22"/>
        </w:rPr>
        <w:t xml:space="preserve"> </w:t>
      </w:r>
      <w:r w:rsidRPr="00AE0E83">
        <w:rPr>
          <w:sz w:val="22"/>
        </w:rPr>
        <w:t>unmet need for pain assessment and management and potentially preventable safety issues associated with use of pharmacological therapies for people with OA.</w:t>
      </w:r>
      <w:r>
        <w:rPr>
          <w:noProof/>
          <w:sz w:val="22"/>
        </w:rPr>
        <w:t>(27)</w:t>
      </w:r>
      <w:r w:rsidRPr="00AE0E83">
        <w:rPr>
          <w:sz w:val="22"/>
        </w:rPr>
        <w:t xml:space="preserve"> Variation in provision of evidence-based care also occurs. A recent </w:t>
      </w:r>
      <w:r>
        <w:rPr>
          <w:sz w:val="22"/>
        </w:rPr>
        <w:t>patient</w:t>
      </w:r>
      <w:r w:rsidRPr="00AE0E83">
        <w:rPr>
          <w:sz w:val="22"/>
        </w:rPr>
        <w:t xml:space="preserve"> survey study using questions based on the Arthritis Foundation Quality Indicators for OA</w:t>
      </w:r>
      <w:r>
        <w:rPr>
          <w:sz w:val="22"/>
        </w:rPr>
        <w:t>,</w:t>
      </w:r>
      <w:r>
        <w:rPr>
          <w:noProof/>
          <w:sz w:val="22"/>
        </w:rPr>
        <w:t>(20)</w:t>
      </w:r>
      <w:r>
        <w:rPr>
          <w:sz w:val="22"/>
        </w:rPr>
        <w:t xml:space="preserve"> </w:t>
      </w:r>
      <w:r w:rsidRPr="00AE0E83">
        <w:rPr>
          <w:sz w:val="22"/>
        </w:rPr>
        <w:t>found that provision of advice about non-pharmacological care was not only suboptimal, but that</w:t>
      </w:r>
      <w:r>
        <w:rPr>
          <w:sz w:val="22"/>
        </w:rPr>
        <w:t xml:space="preserve"> this differed  according to</w:t>
      </w:r>
      <w:r w:rsidRPr="00AE0E83">
        <w:rPr>
          <w:sz w:val="22"/>
        </w:rPr>
        <w:t xml:space="preserve"> sex, age, disability and educational levels.</w:t>
      </w:r>
      <w:r>
        <w:rPr>
          <w:noProof/>
          <w:sz w:val="22"/>
        </w:rPr>
        <w:t>(19)</w:t>
      </w:r>
    </w:p>
    <w:p w14:paraId="0308B4DE" w14:textId="77777777" w:rsidR="008054B9" w:rsidRDefault="008054B9" w:rsidP="003071E0">
      <w:pPr>
        <w:spacing w:line="480" w:lineRule="auto"/>
        <w:jc w:val="both"/>
        <w:rPr>
          <w:sz w:val="22"/>
        </w:rPr>
      </w:pPr>
    </w:p>
    <w:p w14:paraId="000F4F04" w14:textId="77777777" w:rsidR="008054B9" w:rsidRPr="00AE0E83" w:rsidRDefault="008054B9" w:rsidP="003071E0">
      <w:pPr>
        <w:spacing w:line="480" w:lineRule="auto"/>
        <w:ind w:firstLine="720"/>
        <w:jc w:val="both"/>
        <w:rPr>
          <w:b/>
          <w:sz w:val="22"/>
        </w:rPr>
      </w:pPr>
      <w:r>
        <w:rPr>
          <w:sz w:val="22"/>
        </w:rPr>
        <w:t>Unlike</w:t>
      </w:r>
      <w:r w:rsidRPr="00AE0E83">
        <w:rPr>
          <w:sz w:val="22"/>
        </w:rPr>
        <w:t xml:space="preserve"> previous clinical practice guidelines</w:t>
      </w:r>
      <w:r>
        <w:rPr>
          <w:sz w:val="22"/>
        </w:rPr>
        <w:t>,</w:t>
      </w:r>
      <w:r w:rsidRPr="00AE0E83">
        <w:rPr>
          <w:sz w:val="22"/>
        </w:rPr>
        <w:t xml:space="preserve"> the ACR has taken a case</w:t>
      </w:r>
      <w:r>
        <w:rPr>
          <w:sz w:val="22"/>
        </w:rPr>
        <w:t>-</w:t>
      </w:r>
      <w:r w:rsidRPr="00AE0E83">
        <w:rPr>
          <w:sz w:val="22"/>
        </w:rPr>
        <w:t xml:space="preserve">based </w:t>
      </w:r>
      <w:r>
        <w:rPr>
          <w:sz w:val="22"/>
        </w:rPr>
        <w:t xml:space="preserve">scenario </w:t>
      </w:r>
      <w:r w:rsidRPr="00AE0E83">
        <w:rPr>
          <w:sz w:val="22"/>
        </w:rPr>
        <w:t>approach to their recently updated OA recommendations, on the basis that studies to date have not tested sequential management strategies</w:t>
      </w:r>
      <w:r>
        <w:rPr>
          <w:sz w:val="22"/>
        </w:rPr>
        <w:t xml:space="preserve"> and case scenarios allow clinicians to better provide an individualized management approach. </w:t>
      </w:r>
      <w:r w:rsidRPr="00AE0E83">
        <w:rPr>
          <w:sz w:val="22"/>
        </w:rPr>
        <w:t xml:space="preserve"> </w:t>
      </w:r>
      <w:r>
        <w:rPr>
          <w:sz w:val="22"/>
        </w:rPr>
        <w:t xml:space="preserve">Thus there are six cases and scenarios comprising mild to more severe symptomatic OA as well as gastrointestinal and cardiovascular comorbidity scenarios. The guideline summary focuses on the initiation of therapy (tables 2 &amp; 3) although other case scenarios can be accessed through supplementary material on line. Whether this guideline approach will be more effective than others is yet to be tested. </w:t>
      </w:r>
    </w:p>
    <w:p w14:paraId="6656FFEE" w14:textId="77777777" w:rsidR="008054B9" w:rsidRPr="00AE0E83" w:rsidRDefault="008054B9" w:rsidP="003071E0">
      <w:pPr>
        <w:pStyle w:val="Heading3"/>
        <w:spacing w:line="480" w:lineRule="auto"/>
        <w:rPr>
          <w:rFonts w:ascii="Times New Roman" w:hAnsi="Times New Roman"/>
          <w:sz w:val="22"/>
        </w:rPr>
      </w:pPr>
      <w:r w:rsidRPr="00AE0E83">
        <w:rPr>
          <w:rFonts w:ascii="Times New Roman" w:hAnsi="Times New Roman"/>
          <w:sz w:val="22"/>
        </w:rPr>
        <w:t>Effective, Safe and Equitable Care for OA</w:t>
      </w:r>
    </w:p>
    <w:p w14:paraId="32A53622" w14:textId="77777777" w:rsidR="008054B9" w:rsidRDefault="008054B9" w:rsidP="003071E0">
      <w:pPr>
        <w:spacing w:line="480" w:lineRule="auto"/>
        <w:jc w:val="both"/>
        <w:rPr>
          <w:b/>
          <w:i/>
          <w:sz w:val="22"/>
        </w:rPr>
      </w:pPr>
    </w:p>
    <w:p w14:paraId="071A75BF" w14:textId="77777777" w:rsidR="008054B9" w:rsidRPr="00AE0E83" w:rsidRDefault="008054B9" w:rsidP="003071E0">
      <w:pPr>
        <w:spacing w:line="480" w:lineRule="auto"/>
        <w:jc w:val="both"/>
        <w:rPr>
          <w:b/>
          <w:i/>
          <w:sz w:val="22"/>
        </w:rPr>
      </w:pPr>
      <w:r w:rsidRPr="00AE0E83">
        <w:rPr>
          <w:b/>
          <w:i/>
          <w:sz w:val="22"/>
        </w:rPr>
        <w:t>No</w:t>
      </w:r>
      <w:r>
        <w:rPr>
          <w:b/>
          <w:i/>
          <w:sz w:val="22"/>
        </w:rPr>
        <w:t>n-</w:t>
      </w:r>
      <w:r w:rsidRPr="00AE0E83">
        <w:rPr>
          <w:b/>
          <w:i/>
          <w:sz w:val="22"/>
        </w:rPr>
        <w:t xml:space="preserve">pharmacological therapy </w:t>
      </w:r>
    </w:p>
    <w:p w14:paraId="1D23C721" w14:textId="77777777" w:rsidR="008054B9" w:rsidRPr="00AE0E83" w:rsidRDefault="008054B9" w:rsidP="003071E0">
      <w:pPr>
        <w:spacing w:line="480" w:lineRule="auto"/>
        <w:jc w:val="both"/>
        <w:rPr>
          <w:sz w:val="22"/>
          <w:u w:val="single"/>
        </w:rPr>
      </w:pPr>
    </w:p>
    <w:p w14:paraId="009AECF2" w14:textId="77777777" w:rsidR="008054B9" w:rsidRPr="00AE0E83" w:rsidRDefault="008054B9" w:rsidP="003071E0">
      <w:pPr>
        <w:spacing w:line="480" w:lineRule="auto"/>
        <w:ind w:firstLine="720"/>
        <w:jc w:val="both"/>
        <w:rPr>
          <w:sz w:val="22"/>
        </w:rPr>
      </w:pPr>
      <w:r w:rsidRPr="00AE0E83">
        <w:rPr>
          <w:sz w:val="22"/>
        </w:rPr>
        <w:t>Clinical guidelines highlight the role of conservative non-pharmacological treatments as the first-line approach to management of OA and emphasize their important role at all stages of disease. The bulk of research into non-pharmacological treatments is focused on knee OA</w:t>
      </w:r>
      <w:r>
        <w:rPr>
          <w:sz w:val="22"/>
        </w:rPr>
        <w:t>.</w:t>
      </w:r>
      <w:r w:rsidRPr="00AE0E83">
        <w:rPr>
          <w:sz w:val="22"/>
        </w:rPr>
        <w:t xml:space="preserve"> Core non-pharmacological treatments generally recommended by clinical guidelines for hip and knee OA include </w:t>
      </w:r>
      <w:r>
        <w:rPr>
          <w:sz w:val="22"/>
        </w:rPr>
        <w:t>patient</w:t>
      </w:r>
      <w:r w:rsidRPr="00AE0E83">
        <w:rPr>
          <w:sz w:val="22"/>
        </w:rPr>
        <w:t xml:space="preserve"> education, exercise, and for those who are overweight or obese, weight loss. </w:t>
      </w:r>
    </w:p>
    <w:p w14:paraId="5280BCFB" w14:textId="77777777" w:rsidR="008054B9" w:rsidRPr="00AE0E83" w:rsidRDefault="008054B9" w:rsidP="003071E0">
      <w:pPr>
        <w:spacing w:line="480" w:lineRule="auto"/>
        <w:jc w:val="both"/>
        <w:rPr>
          <w:sz w:val="22"/>
        </w:rPr>
      </w:pPr>
    </w:p>
    <w:p w14:paraId="2FDEC473" w14:textId="77777777" w:rsidR="008054B9" w:rsidRPr="00AE0E83" w:rsidRDefault="008054B9" w:rsidP="003071E0">
      <w:pPr>
        <w:spacing w:line="480" w:lineRule="auto"/>
        <w:ind w:firstLine="720"/>
        <w:jc w:val="both"/>
        <w:rPr>
          <w:sz w:val="22"/>
        </w:rPr>
      </w:pPr>
      <w:r w:rsidRPr="00AE0E83">
        <w:rPr>
          <w:sz w:val="22"/>
        </w:rPr>
        <w:t xml:space="preserve">In line with OA as a chronic disease, </w:t>
      </w:r>
      <w:r>
        <w:rPr>
          <w:sz w:val="22"/>
        </w:rPr>
        <w:t>patient</w:t>
      </w:r>
      <w:r w:rsidRPr="00AE0E83">
        <w:rPr>
          <w:sz w:val="22"/>
        </w:rPr>
        <w:t xml:space="preserve"> education is a key component of treatment and can take many forms in terms of content and mode of delivery. ACR guidelines conditionally recommend that people with hip </w:t>
      </w:r>
      <w:r>
        <w:rPr>
          <w:sz w:val="22"/>
        </w:rPr>
        <w:t xml:space="preserve">or </w:t>
      </w:r>
      <w:r w:rsidRPr="00AE0E83">
        <w:rPr>
          <w:sz w:val="22"/>
        </w:rPr>
        <w:t>knee OA participate in formal self</w:t>
      </w:r>
      <w:r>
        <w:rPr>
          <w:sz w:val="22"/>
        </w:rPr>
        <w:t>-</w:t>
      </w:r>
      <w:r w:rsidRPr="00AE0E83">
        <w:rPr>
          <w:sz w:val="22"/>
        </w:rPr>
        <w:t>management programs.</w:t>
      </w:r>
      <w:r>
        <w:rPr>
          <w:noProof/>
          <w:sz w:val="22"/>
        </w:rPr>
        <w:t>(10)</w:t>
      </w:r>
      <w:r w:rsidRPr="00AE0E83">
        <w:rPr>
          <w:sz w:val="22"/>
        </w:rPr>
        <w:t xml:space="preserve"> However, while OA self</w:t>
      </w:r>
      <w:r>
        <w:rPr>
          <w:sz w:val="22"/>
        </w:rPr>
        <w:t>-</w:t>
      </w:r>
      <w:r w:rsidRPr="00AE0E83">
        <w:rPr>
          <w:sz w:val="22"/>
        </w:rPr>
        <w:t xml:space="preserve">management programs are available in many countries, health practitioners do not necessarily refer </w:t>
      </w:r>
      <w:r>
        <w:rPr>
          <w:sz w:val="22"/>
        </w:rPr>
        <w:t>patient</w:t>
      </w:r>
      <w:r w:rsidRPr="00AE0E83">
        <w:rPr>
          <w:sz w:val="22"/>
        </w:rPr>
        <w:t xml:space="preserve">s. A qualitative study found a number of barriers and enablers to general practitioner referral of people with OA to </w:t>
      </w:r>
      <w:r>
        <w:rPr>
          <w:sz w:val="22"/>
        </w:rPr>
        <w:t>self-management</w:t>
      </w:r>
      <w:r w:rsidRPr="00AE0E83">
        <w:rPr>
          <w:sz w:val="22"/>
        </w:rPr>
        <w:t xml:space="preserve"> programs in Australia. </w:t>
      </w:r>
      <w:r>
        <w:rPr>
          <w:noProof/>
          <w:sz w:val="22"/>
        </w:rPr>
        <w:t>(28)</w:t>
      </w:r>
      <w:r w:rsidRPr="00AE0E83">
        <w:rPr>
          <w:sz w:val="22"/>
        </w:rPr>
        <w:t xml:space="preserve"> </w:t>
      </w:r>
      <w:r>
        <w:rPr>
          <w:sz w:val="22"/>
        </w:rPr>
        <w:t xml:space="preserve">These included; GP related factors (knowledge about availability and types of services on offer, perceptions about patients’ capacity to attend and motivation, beliefs about the benefit of referral), patient related factors (awareness of the value and availability of services, patient driven referrals) and program factors (design, content, location, cost and waiting time), </w:t>
      </w:r>
      <w:r w:rsidRPr="00AE0E83">
        <w:rPr>
          <w:sz w:val="22"/>
        </w:rPr>
        <w:t xml:space="preserve">A range of </w:t>
      </w:r>
      <w:r>
        <w:rPr>
          <w:sz w:val="22"/>
        </w:rPr>
        <w:t xml:space="preserve">socio-economic </w:t>
      </w:r>
      <w:r w:rsidRPr="00AE0E83">
        <w:rPr>
          <w:sz w:val="22"/>
        </w:rPr>
        <w:t xml:space="preserve">barriers to participation in community-based arthritis self-management programs have also been reported by people with hip or knee OA. </w:t>
      </w:r>
      <w:r>
        <w:rPr>
          <w:noProof/>
          <w:sz w:val="22"/>
        </w:rPr>
        <w:t>(29)</w:t>
      </w:r>
    </w:p>
    <w:p w14:paraId="102337DD" w14:textId="77777777" w:rsidR="008054B9" w:rsidRPr="00AE0E83" w:rsidRDefault="008054B9" w:rsidP="003071E0">
      <w:pPr>
        <w:spacing w:line="480" w:lineRule="auto"/>
        <w:jc w:val="both"/>
        <w:rPr>
          <w:sz w:val="22"/>
        </w:rPr>
      </w:pPr>
    </w:p>
    <w:p w14:paraId="3222C2B9" w14:textId="77777777" w:rsidR="008054B9" w:rsidRPr="00AE0E83" w:rsidRDefault="008054B9" w:rsidP="003071E0">
      <w:pPr>
        <w:spacing w:line="480" w:lineRule="auto"/>
        <w:ind w:firstLine="720"/>
        <w:rPr>
          <w:sz w:val="22"/>
        </w:rPr>
      </w:pPr>
      <w:r w:rsidRPr="00AE0E83">
        <w:rPr>
          <w:sz w:val="22"/>
        </w:rPr>
        <w:t>With regards to specific exercise prescription, an individualised approach is required. The ACR guidelines strongly recommend both aquatic and land-based exercis</w:t>
      </w:r>
      <w:r>
        <w:rPr>
          <w:sz w:val="22"/>
        </w:rPr>
        <w:t>es, and conditionally recommend</w:t>
      </w:r>
      <w:r w:rsidRPr="00AE0E83">
        <w:rPr>
          <w:sz w:val="22"/>
        </w:rPr>
        <w:t xml:space="preserve"> Tai Chi, with the</w:t>
      </w:r>
      <w:r w:rsidRPr="00AE0E83">
        <w:rPr>
          <w:rFonts w:cs="Times"/>
          <w:color w:val="1A1718"/>
          <w:sz w:val="22"/>
        </w:rPr>
        <w:t xml:space="preserve"> decision on choice of exercise approach based on </w:t>
      </w:r>
      <w:r>
        <w:rPr>
          <w:rFonts w:cs="Times"/>
          <w:color w:val="1A1718"/>
          <w:sz w:val="22"/>
        </w:rPr>
        <w:t>patient</w:t>
      </w:r>
      <w:r w:rsidRPr="00AE0E83">
        <w:rPr>
          <w:rFonts w:cs="Times"/>
          <w:color w:val="1A1718"/>
          <w:sz w:val="22"/>
        </w:rPr>
        <w:t xml:space="preserve"> preferences and functional ability.</w:t>
      </w:r>
      <w:r>
        <w:rPr>
          <w:noProof/>
          <w:sz w:val="22"/>
        </w:rPr>
        <w:t>(10)</w:t>
      </w:r>
      <w:r w:rsidRPr="00AE0E83">
        <w:rPr>
          <w:sz w:val="22"/>
        </w:rPr>
        <w:t xml:space="preserve"> Strengthening exercises for the lower limb muscles particularly the quadriceps and aerobic exercises such as walking are also</w:t>
      </w:r>
      <w:r>
        <w:rPr>
          <w:sz w:val="22"/>
        </w:rPr>
        <w:t xml:space="preserve"> </w:t>
      </w:r>
      <w:r w:rsidRPr="00AE0E83">
        <w:rPr>
          <w:sz w:val="22"/>
        </w:rPr>
        <w:t>recommen</w:t>
      </w:r>
      <w:r>
        <w:rPr>
          <w:sz w:val="22"/>
        </w:rPr>
        <w:t>ded by several other guidelines</w:t>
      </w:r>
      <w:r w:rsidRPr="00AE0E83">
        <w:rPr>
          <w:sz w:val="22"/>
        </w:rPr>
        <w:t>.</w:t>
      </w:r>
      <w:r>
        <w:rPr>
          <w:noProof/>
          <w:sz w:val="22"/>
        </w:rPr>
        <w:t>(8, 11, 30)</w:t>
      </w:r>
      <w:r>
        <w:rPr>
          <w:sz w:val="22"/>
        </w:rPr>
        <w:t xml:space="preserve"> </w:t>
      </w:r>
      <w:r w:rsidRPr="00AE0E83">
        <w:rPr>
          <w:sz w:val="22"/>
        </w:rPr>
        <w:t>Different exercise delivery modes (individual, group, home-based) have all been found to be effective in improving pain and function.</w:t>
      </w:r>
      <w:r>
        <w:rPr>
          <w:noProof/>
          <w:sz w:val="22"/>
        </w:rPr>
        <w:t>(31)</w:t>
      </w:r>
      <w:r>
        <w:rPr>
          <w:sz w:val="22"/>
        </w:rPr>
        <w:t xml:space="preserve"> </w:t>
      </w:r>
      <w:r w:rsidRPr="00AE0E83">
        <w:rPr>
          <w:sz w:val="22"/>
        </w:rPr>
        <w:t>However, 12 or more directly</w:t>
      </w:r>
      <w:r>
        <w:rPr>
          <w:sz w:val="22"/>
        </w:rPr>
        <w:t>-</w:t>
      </w:r>
      <w:r w:rsidRPr="00AE0E83">
        <w:rPr>
          <w:sz w:val="22"/>
        </w:rPr>
        <w:t>supervised exercise sessions appear to be more effective than less than 12.</w:t>
      </w:r>
      <w:r>
        <w:rPr>
          <w:noProof/>
          <w:sz w:val="22"/>
        </w:rPr>
        <w:t>(31)</w:t>
      </w:r>
      <w:r w:rsidRPr="00AE0E83">
        <w:rPr>
          <w:sz w:val="22"/>
        </w:rPr>
        <w:t xml:space="preserve"> </w:t>
      </w:r>
      <w:r>
        <w:rPr>
          <w:sz w:val="22"/>
        </w:rPr>
        <w:t>Patient</w:t>
      </w:r>
      <w:r w:rsidRPr="00AE0E83">
        <w:rPr>
          <w:sz w:val="22"/>
        </w:rPr>
        <w:t xml:space="preserve"> adherence is also a</w:t>
      </w:r>
      <w:r>
        <w:rPr>
          <w:sz w:val="22"/>
        </w:rPr>
        <w:t xml:space="preserve"> key factor in determining long-</w:t>
      </w:r>
      <w:r w:rsidRPr="00AE0E83">
        <w:rPr>
          <w:sz w:val="22"/>
        </w:rPr>
        <w:t xml:space="preserve">term outcome from exercise therapy in </w:t>
      </w:r>
      <w:r>
        <w:rPr>
          <w:sz w:val="22"/>
        </w:rPr>
        <w:t>patient</w:t>
      </w:r>
      <w:r w:rsidRPr="00AE0E83">
        <w:rPr>
          <w:sz w:val="22"/>
        </w:rPr>
        <w:t>s with OA.</w:t>
      </w:r>
      <w:r>
        <w:rPr>
          <w:noProof/>
          <w:sz w:val="22"/>
        </w:rPr>
        <w:t>(32, 33)</w:t>
      </w:r>
      <w:r w:rsidRPr="00AE0E83">
        <w:rPr>
          <w:sz w:val="22"/>
        </w:rPr>
        <w:t xml:space="preserve"> Given that </w:t>
      </w:r>
      <w:r>
        <w:rPr>
          <w:sz w:val="22"/>
        </w:rPr>
        <w:t>patient</w:t>
      </w:r>
      <w:r w:rsidRPr="00AE0E83">
        <w:rPr>
          <w:sz w:val="22"/>
        </w:rPr>
        <w:t xml:space="preserve"> adherence to exercise declines over time, strategies to maximize adherence are needed.</w:t>
      </w:r>
      <w:r>
        <w:rPr>
          <w:noProof/>
          <w:sz w:val="22"/>
        </w:rPr>
        <w:t>(34)</w:t>
      </w:r>
    </w:p>
    <w:p w14:paraId="7A94F7D7" w14:textId="77777777" w:rsidR="008054B9" w:rsidRPr="00AE0E83" w:rsidRDefault="008054B9" w:rsidP="003071E0">
      <w:pPr>
        <w:spacing w:line="480" w:lineRule="auto"/>
        <w:rPr>
          <w:sz w:val="22"/>
        </w:rPr>
      </w:pPr>
    </w:p>
    <w:p w14:paraId="3FF4DBA1" w14:textId="77777777" w:rsidR="008054B9" w:rsidRPr="00AE0E83" w:rsidRDefault="008054B9" w:rsidP="003071E0">
      <w:pPr>
        <w:widowControl w:val="0"/>
        <w:autoSpaceDE w:val="0"/>
        <w:autoSpaceDN w:val="0"/>
        <w:adjustRightInd w:val="0"/>
        <w:spacing w:after="240" w:line="480" w:lineRule="auto"/>
        <w:ind w:firstLine="720"/>
        <w:rPr>
          <w:sz w:val="22"/>
        </w:rPr>
      </w:pPr>
      <w:r w:rsidRPr="00AE0E83">
        <w:rPr>
          <w:sz w:val="22"/>
        </w:rPr>
        <w:t xml:space="preserve">Despite strong evidence </w:t>
      </w:r>
      <w:r>
        <w:rPr>
          <w:sz w:val="22"/>
        </w:rPr>
        <w:t xml:space="preserve">from </w:t>
      </w:r>
      <w:r w:rsidRPr="00AE0E83">
        <w:rPr>
          <w:sz w:val="22"/>
        </w:rPr>
        <w:t>randomized controlled trial</w:t>
      </w:r>
      <w:r>
        <w:rPr>
          <w:sz w:val="22"/>
        </w:rPr>
        <w:t>s (RCTs)</w:t>
      </w:r>
      <w:r w:rsidRPr="00AE0E83">
        <w:rPr>
          <w:sz w:val="22"/>
        </w:rPr>
        <w:t xml:space="preserve"> demonstrating the beneficial effects of exercise for people with OA </w:t>
      </w:r>
      <w:r>
        <w:rPr>
          <w:noProof/>
          <w:sz w:val="22"/>
        </w:rPr>
        <w:t>(35)</w:t>
      </w:r>
      <w:r w:rsidRPr="00AE0E83">
        <w:rPr>
          <w:sz w:val="22"/>
        </w:rPr>
        <w:t xml:space="preserve"> and numerous clinical guidelines advocating exercise, international surveys have found that exercise is under-utilised by medical practitioners as a treatment for OA. </w:t>
      </w:r>
      <w:r>
        <w:rPr>
          <w:noProof/>
          <w:sz w:val="22"/>
        </w:rPr>
        <w:t>(19, 36, 37)</w:t>
      </w:r>
      <w:r w:rsidRPr="00AE0E83">
        <w:rPr>
          <w:sz w:val="22"/>
        </w:rPr>
        <w:t xml:space="preserve">  Furthermore, the attitudes and beliefs of health care professionals regarding exercise may be counterproductive to the </w:t>
      </w:r>
      <w:r>
        <w:rPr>
          <w:sz w:val="22"/>
        </w:rPr>
        <w:t>patient</w:t>
      </w:r>
      <w:r w:rsidRPr="00AE0E83">
        <w:rPr>
          <w:sz w:val="22"/>
        </w:rPr>
        <w:t xml:space="preserve"> behavioral changes needed to ensure ongoing exercise participation by the </w:t>
      </w:r>
      <w:r>
        <w:rPr>
          <w:sz w:val="22"/>
        </w:rPr>
        <w:t>patient</w:t>
      </w:r>
      <w:r w:rsidRPr="00AE0E83">
        <w:rPr>
          <w:sz w:val="22"/>
        </w:rPr>
        <w:t>.</w:t>
      </w:r>
      <w:r>
        <w:rPr>
          <w:noProof/>
          <w:sz w:val="22"/>
        </w:rPr>
        <w:t>(38)</w:t>
      </w:r>
      <w:r w:rsidRPr="00AE0E83">
        <w:rPr>
          <w:sz w:val="22"/>
        </w:rPr>
        <w:t xml:space="preserve"> Provision of advice on exercise to </w:t>
      </w:r>
      <w:r>
        <w:rPr>
          <w:sz w:val="22"/>
        </w:rPr>
        <w:t>patient</w:t>
      </w:r>
      <w:r w:rsidRPr="00AE0E83">
        <w:rPr>
          <w:sz w:val="22"/>
        </w:rPr>
        <w:t xml:space="preserve">s with OA may also </w:t>
      </w:r>
      <w:r>
        <w:rPr>
          <w:sz w:val="22"/>
        </w:rPr>
        <w:t>differ</w:t>
      </w:r>
      <w:r w:rsidRPr="00AE0E83">
        <w:rPr>
          <w:sz w:val="22"/>
        </w:rPr>
        <w:t xml:space="preserve"> across age, sex, disability and education levels.</w:t>
      </w:r>
      <w:r>
        <w:rPr>
          <w:noProof/>
          <w:sz w:val="22"/>
        </w:rPr>
        <w:t>(19)</w:t>
      </w:r>
      <w:r w:rsidRPr="00AE0E83">
        <w:rPr>
          <w:sz w:val="22"/>
        </w:rPr>
        <w:t xml:space="preserve">  </w:t>
      </w:r>
    </w:p>
    <w:p w14:paraId="2F9A9850" w14:textId="77777777" w:rsidR="008054B9" w:rsidRPr="00AE0E83" w:rsidRDefault="008054B9" w:rsidP="003071E0">
      <w:pPr>
        <w:widowControl w:val="0"/>
        <w:autoSpaceDE w:val="0"/>
        <w:autoSpaceDN w:val="0"/>
        <w:adjustRightInd w:val="0"/>
        <w:spacing w:after="240" w:line="480" w:lineRule="auto"/>
        <w:ind w:firstLine="720"/>
        <w:rPr>
          <w:sz w:val="22"/>
        </w:rPr>
      </w:pPr>
      <w:r w:rsidRPr="00AE0E83">
        <w:rPr>
          <w:sz w:val="22"/>
        </w:rPr>
        <w:t xml:space="preserve">Clinical guidelines recommend weight loss for those with lower limb OA who are overweight or obese </w:t>
      </w:r>
      <w:r>
        <w:rPr>
          <w:noProof/>
          <w:sz w:val="22"/>
        </w:rPr>
        <w:t>(39, 40)</w:t>
      </w:r>
      <w:r w:rsidRPr="00AE0E83">
        <w:rPr>
          <w:sz w:val="22"/>
        </w:rPr>
        <w:t>. For knee OA, a meta-analysis of weight loss trials found that disability could be significantly improved when weight is reduced over 5%, or at a rate of &gt;0.24% reduction per week over a 20-week period.</w:t>
      </w:r>
      <w:r>
        <w:rPr>
          <w:noProof/>
          <w:sz w:val="22"/>
        </w:rPr>
        <w:t>(41)</w:t>
      </w:r>
      <w:r>
        <w:rPr>
          <w:sz w:val="22"/>
        </w:rPr>
        <w:t xml:space="preserve"> </w:t>
      </w:r>
      <w:r w:rsidRPr="00AE0E83">
        <w:rPr>
          <w:sz w:val="22"/>
        </w:rPr>
        <w:t>Ottawa Panel Guidelines, developed specifically for overweight or obese people with OA, recommend a combination of physical activity (aerobic exercise plus or minus strength training) and diet (caloric restriction).</w:t>
      </w:r>
      <w:r>
        <w:rPr>
          <w:noProof/>
          <w:sz w:val="22"/>
        </w:rPr>
        <w:t>(42)</w:t>
      </w:r>
      <w:r w:rsidRPr="00AE0E83">
        <w:rPr>
          <w:sz w:val="22"/>
        </w:rPr>
        <w:t xml:space="preserve"> The Panel recommends weight loss prior to implementing weight-bearing exercise to maintain joint integrity. </w:t>
      </w:r>
      <w:r>
        <w:rPr>
          <w:sz w:val="22"/>
        </w:rPr>
        <w:t>One RCT has demonstrated that rheumatologist adoption of standardized goal oriented patient visits can positively influence weight loss, exercise and pain at 4 months followup, and improved physical activity, pain and function at one year.</w:t>
      </w:r>
      <w:r>
        <w:rPr>
          <w:noProof/>
          <w:sz w:val="22"/>
        </w:rPr>
        <w:t>(43)</w:t>
      </w:r>
    </w:p>
    <w:p w14:paraId="58D21352" w14:textId="77777777" w:rsidR="008054B9" w:rsidRPr="00AE0E83" w:rsidRDefault="008054B9" w:rsidP="003071E0">
      <w:pPr>
        <w:spacing w:line="480" w:lineRule="auto"/>
        <w:ind w:firstLine="720"/>
        <w:jc w:val="both"/>
        <w:rPr>
          <w:sz w:val="22"/>
        </w:rPr>
      </w:pPr>
      <w:r w:rsidRPr="00AE0E83">
        <w:rPr>
          <w:sz w:val="22"/>
        </w:rPr>
        <w:t>A range of other c</w:t>
      </w:r>
      <w:r>
        <w:rPr>
          <w:sz w:val="22"/>
        </w:rPr>
        <w:t xml:space="preserve">onservative non-pharmacological </w:t>
      </w:r>
      <w:r w:rsidRPr="00AE0E83">
        <w:rPr>
          <w:sz w:val="22"/>
        </w:rPr>
        <w:t>treatments are available for the management of OA with varying recommendations from clinical guidelines based on limited or low quality evidence to support their efficacy. Recent ACR recommendations</w:t>
      </w:r>
      <w:r>
        <w:rPr>
          <w:sz w:val="22"/>
        </w:rPr>
        <w:t xml:space="preserve"> for initial treatment </w:t>
      </w:r>
      <w:r w:rsidRPr="00AE0E83">
        <w:rPr>
          <w:sz w:val="22"/>
        </w:rPr>
        <w:t>are summarised in Table 2.</w:t>
      </w:r>
      <w:r>
        <w:rPr>
          <w:noProof/>
          <w:sz w:val="22"/>
        </w:rPr>
        <w:t>(10)</w:t>
      </w:r>
      <w:r w:rsidRPr="00AE0E83">
        <w:rPr>
          <w:sz w:val="22"/>
        </w:rPr>
        <w:t xml:space="preserve"> </w:t>
      </w:r>
    </w:p>
    <w:p w14:paraId="0E3C1DF7" w14:textId="77777777" w:rsidR="008054B9" w:rsidRPr="00AE0E83" w:rsidRDefault="008054B9" w:rsidP="003071E0">
      <w:pPr>
        <w:spacing w:line="480" w:lineRule="auto"/>
        <w:jc w:val="both"/>
        <w:rPr>
          <w:sz w:val="22"/>
        </w:rPr>
      </w:pPr>
    </w:p>
    <w:p w14:paraId="335632CC" w14:textId="77777777" w:rsidR="008054B9" w:rsidRPr="00AE0E83" w:rsidRDefault="008054B9" w:rsidP="003071E0">
      <w:pPr>
        <w:spacing w:line="480" w:lineRule="auto"/>
        <w:jc w:val="both"/>
        <w:rPr>
          <w:b/>
          <w:sz w:val="22"/>
        </w:rPr>
      </w:pPr>
    </w:p>
    <w:p w14:paraId="0CE77A14" w14:textId="77777777" w:rsidR="008054B9" w:rsidRPr="00AE0E83" w:rsidRDefault="008054B9" w:rsidP="003071E0">
      <w:pPr>
        <w:spacing w:line="480" w:lineRule="auto"/>
        <w:jc w:val="both"/>
        <w:rPr>
          <w:b/>
          <w:i/>
          <w:sz w:val="22"/>
        </w:rPr>
      </w:pPr>
      <w:r w:rsidRPr="00AE0E83">
        <w:rPr>
          <w:b/>
          <w:i/>
          <w:sz w:val="22"/>
        </w:rPr>
        <w:t xml:space="preserve">Pharmacological Therapy </w:t>
      </w:r>
    </w:p>
    <w:p w14:paraId="27430D0F" w14:textId="77777777" w:rsidR="008054B9" w:rsidRPr="00AE0E83" w:rsidRDefault="008054B9" w:rsidP="003071E0">
      <w:pPr>
        <w:spacing w:line="480" w:lineRule="auto"/>
        <w:jc w:val="both"/>
        <w:rPr>
          <w:sz w:val="22"/>
          <w:u w:val="single"/>
        </w:rPr>
      </w:pPr>
    </w:p>
    <w:p w14:paraId="5258D057" w14:textId="77777777" w:rsidR="008054B9" w:rsidRPr="00AE0E83" w:rsidRDefault="008054B9" w:rsidP="003071E0">
      <w:pPr>
        <w:spacing w:line="480" w:lineRule="auto"/>
        <w:ind w:firstLine="720"/>
        <w:rPr>
          <w:sz w:val="22"/>
        </w:rPr>
      </w:pPr>
      <w:r w:rsidRPr="00AE0E83">
        <w:rPr>
          <w:sz w:val="22"/>
        </w:rPr>
        <w:t xml:space="preserve">Research interest and evidence generated about pharmacological management of OA has </w:t>
      </w:r>
      <w:r>
        <w:rPr>
          <w:sz w:val="22"/>
        </w:rPr>
        <w:t xml:space="preserve">also </w:t>
      </w:r>
      <w:r w:rsidRPr="00AE0E83">
        <w:rPr>
          <w:sz w:val="22"/>
        </w:rPr>
        <w:t>focused largely on knee OA and to a lesser extent, hip and hand OA. The pharmacological armamentarium for OA, unlike that for rheumatoid arthritis, remains directed primarily towards symptom management rather than structural modification and prevention of disease progression</w:t>
      </w:r>
      <w:r>
        <w:rPr>
          <w:sz w:val="22"/>
        </w:rPr>
        <w:t>.</w:t>
      </w:r>
      <w:r w:rsidRPr="00AE0E83">
        <w:rPr>
          <w:sz w:val="22"/>
        </w:rPr>
        <w:t xml:space="preserve"> </w:t>
      </w:r>
    </w:p>
    <w:p w14:paraId="343D75EB" w14:textId="77777777" w:rsidR="008054B9" w:rsidRDefault="008054B9" w:rsidP="003071E0">
      <w:pPr>
        <w:spacing w:line="480" w:lineRule="auto"/>
        <w:rPr>
          <w:sz w:val="22"/>
        </w:rPr>
      </w:pPr>
    </w:p>
    <w:p w14:paraId="34E189D2" w14:textId="77777777" w:rsidR="008054B9" w:rsidRPr="00AE0E83" w:rsidRDefault="008054B9" w:rsidP="003071E0">
      <w:pPr>
        <w:spacing w:line="480" w:lineRule="auto"/>
        <w:ind w:firstLine="720"/>
        <w:rPr>
          <w:sz w:val="22"/>
        </w:rPr>
      </w:pPr>
      <w:r w:rsidRPr="00AE0E83">
        <w:rPr>
          <w:sz w:val="22"/>
        </w:rPr>
        <w:t xml:space="preserve">Overall, the </w:t>
      </w:r>
      <w:r>
        <w:rPr>
          <w:sz w:val="22"/>
        </w:rPr>
        <w:t xml:space="preserve">recent ACR </w:t>
      </w:r>
      <w:r w:rsidRPr="00AE0E83">
        <w:rPr>
          <w:sz w:val="22"/>
        </w:rPr>
        <w:t>recommendations are largely in keeping with previous guidelines</w:t>
      </w:r>
      <w:r>
        <w:rPr>
          <w:sz w:val="22"/>
        </w:rPr>
        <w:t>,</w:t>
      </w:r>
      <w:r w:rsidRPr="00AE0E83">
        <w:rPr>
          <w:sz w:val="22"/>
        </w:rPr>
        <w:t xml:space="preserve"> </w:t>
      </w:r>
      <w:r>
        <w:rPr>
          <w:noProof/>
          <w:sz w:val="22"/>
        </w:rPr>
        <w:t>(8, 44)</w:t>
      </w:r>
      <w:r w:rsidRPr="00AE0E83">
        <w:rPr>
          <w:sz w:val="22"/>
        </w:rPr>
        <w:t xml:space="preserve"> with some interesting differences. For instance, there is inclusion of a new psychoactive </w:t>
      </w:r>
      <w:r>
        <w:rPr>
          <w:sz w:val="22"/>
        </w:rPr>
        <w:t>agent,</w:t>
      </w:r>
      <w:r w:rsidRPr="00AE0E83">
        <w:rPr>
          <w:sz w:val="22"/>
        </w:rPr>
        <w:t xml:space="preserve"> Duloxetine, a relatively balanced serotonin and norepinephrine reuptake inhibitor (SNRI), for which there is RCT evidence of a benefit in reduction of pain and improvement of function over a 13 week trial period compared to placebo.</w:t>
      </w:r>
      <w:r>
        <w:rPr>
          <w:noProof/>
          <w:sz w:val="22"/>
        </w:rPr>
        <w:t>(45)</w:t>
      </w:r>
      <w:r w:rsidRPr="00AE0E83">
        <w:rPr>
          <w:sz w:val="22"/>
        </w:rPr>
        <w:t xml:space="preserve"> Although there was no statistical difference noted in harms, a greater proportion of the treated group experienced adverse events compared to placebo and these results require testing in other settings and older OA populations. </w:t>
      </w:r>
    </w:p>
    <w:p w14:paraId="4B7101C6" w14:textId="77777777" w:rsidR="008054B9" w:rsidRPr="00AE0E83" w:rsidRDefault="008054B9" w:rsidP="003071E0">
      <w:pPr>
        <w:spacing w:line="480" w:lineRule="auto"/>
        <w:rPr>
          <w:sz w:val="22"/>
        </w:rPr>
      </w:pPr>
    </w:p>
    <w:p w14:paraId="495DE385" w14:textId="77777777" w:rsidR="008054B9" w:rsidRPr="00AE0E83" w:rsidRDefault="008054B9" w:rsidP="003071E0">
      <w:pPr>
        <w:spacing w:line="480" w:lineRule="auto"/>
        <w:ind w:firstLine="720"/>
        <w:rPr>
          <w:sz w:val="22"/>
        </w:rPr>
      </w:pPr>
      <w:r w:rsidRPr="00AE0E83">
        <w:rPr>
          <w:sz w:val="22"/>
        </w:rPr>
        <w:t xml:space="preserve">In contrast to non-pharmacological management, where there is </w:t>
      </w:r>
      <w:r w:rsidRPr="00AE0E83">
        <w:rPr>
          <w:i/>
          <w:sz w:val="22"/>
        </w:rPr>
        <w:t>strong support</w:t>
      </w:r>
      <w:r w:rsidRPr="00AE0E83">
        <w:rPr>
          <w:sz w:val="22"/>
        </w:rPr>
        <w:t xml:space="preserve"> for exercise, aquatic therapy and weight loss for those who are overweight, all pharmacological recommendations about initiation of therapy for hand, hip and knee OA were of lower grade, that is </w:t>
      </w:r>
      <w:r w:rsidRPr="00AE0E83">
        <w:rPr>
          <w:i/>
          <w:sz w:val="22"/>
        </w:rPr>
        <w:t>‘conditional recommendations’</w:t>
      </w:r>
      <w:r w:rsidRPr="00AE0E83">
        <w:rPr>
          <w:sz w:val="22"/>
        </w:rPr>
        <w:t>(</w:t>
      </w:r>
      <w:r>
        <w:rPr>
          <w:sz w:val="22"/>
        </w:rPr>
        <w:t>Table 3</w:t>
      </w:r>
      <w:r w:rsidRPr="00AE0E83">
        <w:rPr>
          <w:sz w:val="22"/>
        </w:rPr>
        <w:t xml:space="preserve">). </w:t>
      </w:r>
      <w:r>
        <w:rPr>
          <w:sz w:val="22"/>
        </w:rPr>
        <w:t>R</w:t>
      </w:r>
      <w:r w:rsidRPr="00AE0E83">
        <w:rPr>
          <w:sz w:val="22"/>
        </w:rPr>
        <w:t>ecommendations for use of simple analgesia and NSAIDs remain similar to those in the EULAR</w:t>
      </w:r>
      <w:r>
        <w:rPr>
          <w:noProof/>
          <w:sz w:val="22"/>
        </w:rPr>
        <w:t>(44)</w:t>
      </w:r>
      <w:r w:rsidRPr="00AE0E83">
        <w:rPr>
          <w:sz w:val="22"/>
        </w:rPr>
        <w:t xml:space="preserve"> and OARSI</w:t>
      </w:r>
      <w:r>
        <w:rPr>
          <w:noProof/>
          <w:sz w:val="22"/>
        </w:rPr>
        <w:t>(8)</w:t>
      </w:r>
      <w:r w:rsidRPr="00AE0E83">
        <w:rPr>
          <w:sz w:val="22"/>
        </w:rPr>
        <w:t xml:space="preserve"> guidelines, </w:t>
      </w:r>
      <w:r>
        <w:rPr>
          <w:sz w:val="22"/>
        </w:rPr>
        <w:t xml:space="preserve">however </w:t>
      </w:r>
      <w:r w:rsidRPr="00AE0E83">
        <w:rPr>
          <w:sz w:val="22"/>
        </w:rPr>
        <w:t>the</w:t>
      </w:r>
      <w:r>
        <w:rPr>
          <w:sz w:val="22"/>
        </w:rPr>
        <w:t xml:space="preserve">re is </w:t>
      </w:r>
      <w:r w:rsidRPr="00AE0E83">
        <w:rPr>
          <w:sz w:val="22"/>
        </w:rPr>
        <w:t xml:space="preserve">now </w:t>
      </w:r>
      <w:r>
        <w:rPr>
          <w:sz w:val="22"/>
        </w:rPr>
        <w:t xml:space="preserve">a </w:t>
      </w:r>
      <w:r w:rsidRPr="00AE0E83">
        <w:rPr>
          <w:sz w:val="22"/>
        </w:rPr>
        <w:t>recommend</w:t>
      </w:r>
      <w:r>
        <w:rPr>
          <w:sz w:val="22"/>
        </w:rPr>
        <w:t>ation</w:t>
      </w:r>
      <w:r w:rsidRPr="00AE0E83">
        <w:rPr>
          <w:sz w:val="22"/>
        </w:rPr>
        <w:t xml:space="preserve"> that glucosamine and chondroit</w:t>
      </w:r>
      <w:r>
        <w:rPr>
          <w:sz w:val="22"/>
        </w:rPr>
        <w:t>i</w:t>
      </w:r>
      <w:r w:rsidRPr="00AE0E83">
        <w:rPr>
          <w:sz w:val="22"/>
        </w:rPr>
        <w:t>n sulphat</w:t>
      </w:r>
      <w:r>
        <w:rPr>
          <w:sz w:val="22"/>
        </w:rPr>
        <w:t xml:space="preserve">e should not be given, based on evidence from a </w:t>
      </w:r>
      <w:r w:rsidRPr="00AE0E83">
        <w:rPr>
          <w:sz w:val="22"/>
        </w:rPr>
        <w:t>meta-analysis</w:t>
      </w:r>
      <w:r>
        <w:rPr>
          <w:noProof/>
          <w:sz w:val="22"/>
        </w:rPr>
        <w:t>(46)</w:t>
      </w:r>
      <w:r>
        <w:rPr>
          <w:sz w:val="22"/>
        </w:rPr>
        <w:t xml:space="preserve"> and a systematic review</w:t>
      </w:r>
      <w:r w:rsidRPr="00AE0E83">
        <w:rPr>
          <w:sz w:val="22"/>
        </w:rPr>
        <w:t>.</w:t>
      </w:r>
      <w:r>
        <w:rPr>
          <w:noProof/>
          <w:sz w:val="22"/>
        </w:rPr>
        <w:t>(47)</w:t>
      </w:r>
      <w:r w:rsidRPr="00AE0E83">
        <w:rPr>
          <w:sz w:val="22"/>
        </w:rPr>
        <w:t xml:space="preserve"> </w:t>
      </w:r>
      <w:r>
        <w:rPr>
          <w:sz w:val="22"/>
        </w:rPr>
        <w:t xml:space="preserve">This is a contentious area as another recent </w:t>
      </w:r>
      <w:r w:rsidRPr="00AE0E83">
        <w:rPr>
          <w:sz w:val="22"/>
        </w:rPr>
        <w:t xml:space="preserve">meta-analysis </w:t>
      </w:r>
      <w:r>
        <w:rPr>
          <w:sz w:val="22"/>
        </w:rPr>
        <w:t>supports use of</w:t>
      </w:r>
      <w:r w:rsidRPr="00AE0E83">
        <w:rPr>
          <w:sz w:val="22"/>
        </w:rPr>
        <w:t xml:space="preserve"> chondroit</w:t>
      </w:r>
      <w:r>
        <w:rPr>
          <w:sz w:val="22"/>
        </w:rPr>
        <w:t>i</w:t>
      </w:r>
      <w:r w:rsidRPr="00AE0E83">
        <w:rPr>
          <w:sz w:val="22"/>
        </w:rPr>
        <w:t>n sulphate</w:t>
      </w:r>
      <w:r>
        <w:rPr>
          <w:sz w:val="22"/>
        </w:rPr>
        <w:t>,</w:t>
      </w:r>
      <w:r w:rsidRPr="00AE0E83">
        <w:rPr>
          <w:sz w:val="22"/>
        </w:rPr>
        <w:t xml:space="preserve"> </w:t>
      </w:r>
      <w:r>
        <w:rPr>
          <w:sz w:val="22"/>
        </w:rPr>
        <w:t>based on a</w:t>
      </w:r>
      <w:r w:rsidRPr="00AE0E83">
        <w:rPr>
          <w:sz w:val="22"/>
        </w:rPr>
        <w:t xml:space="preserve"> small but significant effect on cartilage </w:t>
      </w:r>
      <w:r>
        <w:rPr>
          <w:sz w:val="22"/>
        </w:rPr>
        <w:t>loss for OA knee.</w:t>
      </w:r>
      <w:r>
        <w:rPr>
          <w:noProof/>
          <w:sz w:val="22"/>
        </w:rPr>
        <w:t>(48)</w:t>
      </w:r>
      <w:r>
        <w:rPr>
          <w:sz w:val="22"/>
        </w:rPr>
        <w:t xml:space="preserve"> </w:t>
      </w:r>
    </w:p>
    <w:p w14:paraId="31EE2FF2" w14:textId="77777777" w:rsidR="008054B9" w:rsidRPr="00AE0E83" w:rsidRDefault="008054B9" w:rsidP="003071E0">
      <w:pPr>
        <w:spacing w:line="480" w:lineRule="auto"/>
        <w:rPr>
          <w:sz w:val="22"/>
        </w:rPr>
      </w:pPr>
      <w:r w:rsidRPr="00AE0E83">
        <w:rPr>
          <w:sz w:val="22"/>
        </w:rPr>
        <w:t xml:space="preserve"> </w:t>
      </w:r>
    </w:p>
    <w:p w14:paraId="19B22D75" w14:textId="77777777" w:rsidR="008054B9" w:rsidRPr="00AE0E83" w:rsidRDefault="008054B9" w:rsidP="003071E0">
      <w:pPr>
        <w:spacing w:line="480" w:lineRule="auto"/>
        <w:ind w:firstLine="720"/>
        <w:rPr>
          <w:sz w:val="22"/>
        </w:rPr>
      </w:pPr>
      <w:r w:rsidRPr="00AE0E83">
        <w:rPr>
          <w:sz w:val="22"/>
        </w:rPr>
        <w:t>In 2001 it was suggested that guidelines should be reviewed every 3 years</w:t>
      </w:r>
      <w:r>
        <w:rPr>
          <w:sz w:val="22"/>
        </w:rPr>
        <w:t>,</w:t>
      </w:r>
      <w:r>
        <w:rPr>
          <w:noProof/>
          <w:sz w:val="22"/>
        </w:rPr>
        <w:t>(49)</w:t>
      </w:r>
      <w:r w:rsidRPr="00AE0E83">
        <w:rPr>
          <w:sz w:val="22"/>
        </w:rPr>
        <w:t xml:space="preserve"> however</w:t>
      </w:r>
      <w:r>
        <w:rPr>
          <w:sz w:val="22"/>
        </w:rPr>
        <w:t>, given the rapidly changing evidence</w:t>
      </w:r>
      <w:r w:rsidRPr="00AE0E83">
        <w:rPr>
          <w:sz w:val="22"/>
        </w:rPr>
        <w:t xml:space="preserve"> a far more responsive knowledge synthesis</w:t>
      </w:r>
      <w:r>
        <w:rPr>
          <w:sz w:val="22"/>
        </w:rPr>
        <w:t xml:space="preserve"> and dissemination</w:t>
      </w:r>
      <w:r w:rsidRPr="00AE0E83">
        <w:rPr>
          <w:sz w:val="22"/>
        </w:rPr>
        <w:t xml:space="preserve"> </w:t>
      </w:r>
      <w:r>
        <w:rPr>
          <w:sz w:val="22"/>
        </w:rPr>
        <w:t>process</w:t>
      </w:r>
      <w:r w:rsidRPr="00AE0E83">
        <w:rPr>
          <w:sz w:val="22"/>
        </w:rPr>
        <w:t xml:space="preserve"> is required. </w:t>
      </w:r>
      <w:r>
        <w:rPr>
          <w:sz w:val="22"/>
        </w:rPr>
        <w:t xml:space="preserve">For instance, the EULAR and OARSI guidelines supported use of hyaluronic acid, and the ACR guidelines provide ‘no recommendation’, however a new </w:t>
      </w:r>
      <w:r w:rsidRPr="00AE0E83">
        <w:rPr>
          <w:sz w:val="22"/>
        </w:rPr>
        <w:t xml:space="preserve">systematic review reported only small and clinically irrelevant benefit from use of </w:t>
      </w:r>
      <w:r>
        <w:rPr>
          <w:sz w:val="22"/>
        </w:rPr>
        <w:t xml:space="preserve">intra-articular hyaluronate therapy </w:t>
      </w:r>
      <w:r w:rsidRPr="00AE0E83">
        <w:rPr>
          <w:sz w:val="22"/>
        </w:rPr>
        <w:t>suggesting a stronger negative recommendation may now be appropriate</w:t>
      </w:r>
      <w:r>
        <w:rPr>
          <w:sz w:val="22"/>
        </w:rPr>
        <w:t>.</w:t>
      </w:r>
      <w:r>
        <w:rPr>
          <w:noProof/>
          <w:sz w:val="22"/>
        </w:rPr>
        <w:t>(50)</w:t>
      </w:r>
    </w:p>
    <w:p w14:paraId="6386B379" w14:textId="77777777" w:rsidR="008054B9" w:rsidRDefault="008054B9" w:rsidP="003071E0">
      <w:pPr>
        <w:spacing w:line="480" w:lineRule="auto"/>
        <w:rPr>
          <w:sz w:val="22"/>
        </w:rPr>
      </w:pPr>
    </w:p>
    <w:p w14:paraId="41A01E38" w14:textId="77777777" w:rsidR="008054B9" w:rsidRPr="00707E61" w:rsidRDefault="008054B9" w:rsidP="003071E0">
      <w:pPr>
        <w:spacing w:line="480" w:lineRule="auto"/>
        <w:rPr>
          <w:b/>
          <w:i/>
          <w:sz w:val="22"/>
        </w:rPr>
      </w:pPr>
      <w:r w:rsidRPr="00707E61">
        <w:rPr>
          <w:b/>
          <w:i/>
          <w:sz w:val="22"/>
        </w:rPr>
        <w:t>Safety</w:t>
      </w:r>
      <w:r>
        <w:rPr>
          <w:b/>
          <w:i/>
          <w:sz w:val="22"/>
        </w:rPr>
        <w:t xml:space="preserve"> of pharmacological therapy</w:t>
      </w:r>
    </w:p>
    <w:p w14:paraId="36B42E73" w14:textId="77777777" w:rsidR="008054B9" w:rsidRDefault="008054B9" w:rsidP="003071E0">
      <w:pPr>
        <w:spacing w:line="480" w:lineRule="auto"/>
        <w:ind w:firstLine="720"/>
        <w:rPr>
          <w:b/>
          <w:i/>
          <w:sz w:val="22"/>
        </w:rPr>
      </w:pPr>
      <w:r>
        <w:rPr>
          <w:sz w:val="22"/>
        </w:rPr>
        <w:t>Our understanding of safety in relation to OA care is largely based on information gathered in individual</w:t>
      </w:r>
      <w:r w:rsidRPr="00AE0E83">
        <w:rPr>
          <w:sz w:val="22"/>
        </w:rPr>
        <w:t xml:space="preserve"> </w:t>
      </w:r>
      <w:r>
        <w:rPr>
          <w:sz w:val="22"/>
        </w:rPr>
        <w:t>therapeutic intervention trials or</w:t>
      </w:r>
      <w:r w:rsidRPr="00AE0E83">
        <w:rPr>
          <w:sz w:val="22"/>
        </w:rPr>
        <w:t xml:space="preserve"> </w:t>
      </w:r>
      <w:r>
        <w:rPr>
          <w:sz w:val="22"/>
        </w:rPr>
        <w:t>meta-analyses and joint registry reported outcomes. NSAID gastrointestinal and cardiovascular risks and preventive strategies are well described</w:t>
      </w:r>
      <w:r>
        <w:rPr>
          <w:noProof/>
          <w:sz w:val="22"/>
        </w:rPr>
        <w:t>(51)</w:t>
      </w:r>
      <w:r>
        <w:rPr>
          <w:sz w:val="22"/>
        </w:rPr>
        <w:t xml:space="preserve"> and prescribing practices, associated with reduction in prescription of NSAIDS, have changed over the past 10 years.</w:t>
      </w:r>
      <w:r>
        <w:rPr>
          <w:noProof/>
          <w:sz w:val="22"/>
        </w:rPr>
        <w:t>(52)</w:t>
      </w:r>
      <w:r>
        <w:rPr>
          <w:sz w:val="22"/>
        </w:rPr>
        <w:t xml:space="preserve"> However, an area of increasing interest is use of opioid medications. The ACR data indicates that, whilst there is strong evidence to support a benefit for pain (NNT=5) and functional outcomes (NNT=7), the number needed to harm with nausea (NNT=5) and constipation (NNT=4) is very similar.</w:t>
      </w:r>
      <w:r w:rsidR="00941547" w:rsidRPr="00941547">
        <w:rPr>
          <w:noProof/>
          <w:sz w:val="22"/>
        </w:rPr>
        <w:t>(10)</w:t>
      </w:r>
      <w:r w:rsidR="00941547" w:rsidRPr="00941547">
        <w:rPr>
          <w:sz w:val="22"/>
        </w:rPr>
        <w:t xml:space="preserve"> </w:t>
      </w:r>
      <w:r>
        <w:rPr>
          <w:sz w:val="22"/>
        </w:rPr>
        <w:t>The</w:t>
      </w:r>
      <w:r w:rsidRPr="008128DB">
        <w:rPr>
          <w:sz w:val="22"/>
        </w:rPr>
        <w:t xml:space="preserve"> </w:t>
      </w:r>
      <w:r>
        <w:rPr>
          <w:sz w:val="22"/>
        </w:rPr>
        <w:t xml:space="preserve">rapid rise in </w:t>
      </w:r>
      <w:r w:rsidRPr="008128DB">
        <w:rPr>
          <w:sz w:val="22"/>
        </w:rPr>
        <w:t>use of opio</w:t>
      </w:r>
      <w:r>
        <w:rPr>
          <w:sz w:val="22"/>
        </w:rPr>
        <w:t>i</w:t>
      </w:r>
      <w:r w:rsidRPr="008128DB">
        <w:rPr>
          <w:sz w:val="22"/>
        </w:rPr>
        <w:t xml:space="preserve">ds for management of </w:t>
      </w:r>
      <w:r>
        <w:rPr>
          <w:sz w:val="22"/>
        </w:rPr>
        <w:t xml:space="preserve">non-oncological </w:t>
      </w:r>
      <w:r w:rsidRPr="008128DB">
        <w:rPr>
          <w:sz w:val="22"/>
        </w:rPr>
        <w:t>chronic pain</w:t>
      </w:r>
      <w:r>
        <w:rPr>
          <w:sz w:val="22"/>
        </w:rPr>
        <w:t>, including OA in the last 10 years, particularly in developed countries is of significant concern.</w:t>
      </w:r>
      <w:r>
        <w:rPr>
          <w:noProof/>
          <w:sz w:val="22"/>
        </w:rPr>
        <w:t>(53, 54)</w:t>
      </w:r>
      <w:r>
        <w:rPr>
          <w:sz w:val="22"/>
        </w:rPr>
        <w:t xml:space="preserve"> Data from Australia suggests the peak age for prescribing opioids is 45-64 year olds with high levels also noted for older people and 60% prescriptions were for musculoskeletal problems.</w:t>
      </w:r>
      <w:r>
        <w:rPr>
          <w:noProof/>
          <w:sz w:val="22"/>
        </w:rPr>
        <w:t>(55)</w:t>
      </w:r>
      <w:r>
        <w:rPr>
          <w:sz w:val="22"/>
        </w:rPr>
        <w:t xml:space="preserve"> A further study reported that in 2007-8 the rate of hospital separations for poisoning associated with use of morphine, oxycodone and codeine had risen from 0.05/1000 population to 0.11/1000. There is therefore an imperative to develop drug surveillance systems for monitoring long term outcomes to inform guideline recommendations and clinical practice management of OA.</w:t>
      </w:r>
    </w:p>
    <w:p w14:paraId="3966BF07" w14:textId="77777777" w:rsidR="008054B9" w:rsidRDefault="008054B9" w:rsidP="003071E0">
      <w:pPr>
        <w:spacing w:line="480" w:lineRule="auto"/>
        <w:rPr>
          <w:b/>
          <w:i/>
          <w:sz w:val="22"/>
        </w:rPr>
      </w:pPr>
    </w:p>
    <w:p w14:paraId="35BB53CC" w14:textId="77777777" w:rsidR="008054B9" w:rsidRDefault="008054B9" w:rsidP="003071E0">
      <w:pPr>
        <w:spacing w:line="480" w:lineRule="auto"/>
        <w:rPr>
          <w:b/>
          <w:i/>
          <w:sz w:val="22"/>
        </w:rPr>
      </w:pPr>
      <w:r w:rsidRPr="00AE0E83">
        <w:rPr>
          <w:b/>
          <w:i/>
          <w:sz w:val="22"/>
        </w:rPr>
        <w:t xml:space="preserve">Surgery </w:t>
      </w:r>
    </w:p>
    <w:p w14:paraId="6E8A944B" w14:textId="77777777" w:rsidR="008054B9" w:rsidRPr="00AE0E83" w:rsidRDefault="008054B9" w:rsidP="003071E0">
      <w:pPr>
        <w:autoSpaceDE w:val="0"/>
        <w:autoSpaceDN w:val="0"/>
        <w:adjustRightInd w:val="0"/>
        <w:spacing w:line="480" w:lineRule="auto"/>
        <w:rPr>
          <w:sz w:val="22"/>
        </w:rPr>
      </w:pPr>
    </w:p>
    <w:p w14:paraId="5568039F" w14:textId="77777777" w:rsidR="008054B9" w:rsidRPr="00AE0E83" w:rsidRDefault="008054B9" w:rsidP="003071E0">
      <w:pPr>
        <w:autoSpaceDE w:val="0"/>
        <w:autoSpaceDN w:val="0"/>
        <w:adjustRightInd w:val="0"/>
        <w:spacing w:line="480" w:lineRule="auto"/>
        <w:rPr>
          <w:sz w:val="22"/>
          <w:u w:val="single"/>
        </w:rPr>
      </w:pPr>
      <w:r w:rsidRPr="00AE0E83">
        <w:rPr>
          <w:sz w:val="22"/>
          <w:u w:val="single"/>
        </w:rPr>
        <w:t xml:space="preserve">Access and Equity for </w:t>
      </w:r>
      <w:r>
        <w:rPr>
          <w:sz w:val="22"/>
          <w:u w:val="single"/>
        </w:rPr>
        <w:t xml:space="preserve">Hip and Knee Arthroplasty </w:t>
      </w:r>
      <w:r w:rsidRPr="00AE0E83">
        <w:rPr>
          <w:sz w:val="22"/>
          <w:u w:val="single"/>
        </w:rPr>
        <w:t>in OA</w:t>
      </w:r>
    </w:p>
    <w:p w14:paraId="125FC6B4" w14:textId="77777777" w:rsidR="008054B9" w:rsidRPr="00AE0E83" w:rsidRDefault="008054B9" w:rsidP="003071E0">
      <w:pPr>
        <w:autoSpaceDE w:val="0"/>
        <w:autoSpaceDN w:val="0"/>
        <w:adjustRightInd w:val="0"/>
        <w:spacing w:line="480" w:lineRule="auto"/>
        <w:rPr>
          <w:sz w:val="22"/>
          <w:u w:val="single"/>
        </w:rPr>
      </w:pPr>
    </w:p>
    <w:p w14:paraId="7F5695FE" w14:textId="77777777" w:rsidR="008054B9" w:rsidRPr="00AE0E83" w:rsidRDefault="008054B9" w:rsidP="003071E0">
      <w:pPr>
        <w:spacing w:line="480" w:lineRule="auto"/>
        <w:ind w:firstLine="720"/>
        <w:jc w:val="both"/>
        <w:rPr>
          <w:sz w:val="22"/>
        </w:rPr>
      </w:pPr>
      <w:r w:rsidRPr="00AE0E83">
        <w:rPr>
          <w:sz w:val="22"/>
        </w:rPr>
        <w:t xml:space="preserve">There is good evidence that knee and hip </w:t>
      </w:r>
      <w:r>
        <w:rPr>
          <w:sz w:val="22"/>
        </w:rPr>
        <w:t>arthroplasty</w:t>
      </w:r>
      <w:r w:rsidRPr="00AE0E83">
        <w:rPr>
          <w:sz w:val="22"/>
        </w:rPr>
        <w:t xml:space="preserve"> </w:t>
      </w:r>
      <w:r>
        <w:rPr>
          <w:sz w:val="22"/>
        </w:rPr>
        <w:t xml:space="preserve">are </w:t>
      </w:r>
      <w:r w:rsidRPr="00AE0E83">
        <w:rPr>
          <w:sz w:val="22"/>
        </w:rPr>
        <w:t xml:space="preserve">cost-effective </w:t>
      </w:r>
      <w:r>
        <w:rPr>
          <w:sz w:val="22"/>
        </w:rPr>
        <w:t xml:space="preserve">interventions </w:t>
      </w:r>
      <w:r w:rsidRPr="00AE0E83">
        <w:rPr>
          <w:sz w:val="22"/>
        </w:rPr>
        <w:t xml:space="preserve">for </w:t>
      </w:r>
      <w:r>
        <w:rPr>
          <w:sz w:val="22"/>
        </w:rPr>
        <w:t xml:space="preserve">the </w:t>
      </w:r>
      <w:r w:rsidRPr="00AE0E83">
        <w:rPr>
          <w:sz w:val="22"/>
        </w:rPr>
        <w:t>management of</w:t>
      </w:r>
      <w:r>
        <w:rPr>
          <w:sz w:val="22"/>
        </w:rPr>
        <w:t xml:space="preserve"> end-stage</w:t>
      </w:r>
      <w:r w:rsidRPr="00AE0E83">
        <w:rPr>
          <w:sz w:val="22"/>
        </w:rPr>
        <w:t xml:space="preserve"> OA</w:t>
      </w:r>
      <w:r>
        <w:rPr>
          <w:sz w:val="22"/>
        </w:rPr>
        <w:t>.</w:t>
      </w:r>
      <w:r>
        <w:rPr>
          <w:noProof/>
          <w:sz w:val="22"/>
        </w:rPr>
        <w:t>(56, 57)</w:t>
      </w:r>
      <w:r>
        <w:rPr>
          <w:sz w:val="22"/>
        </w:rPr>
        <w:t xml:space="preserve"> </w:t>
      </w:r>
      <w:r w:rsidRPr="00AE0E83">
        <w:rPr>
          <w:sz w:val="22"/>
        </w:rPr>
        <w:t xml:space="preserve"> While equitable access to </w:t>
      </w:r>
      <w:r>
        <w:rPr>
          <w:sz w:val="22"/>
        </w:rPr>
        <w:t>arthroplasty</w:t>
      </w:r>
      <w:r w:rsidRPr="00AE0E83">
        <w:rPr>
          <w:sz w:val="22"/>
        </w:rPr>
        <w:t xml:space="preserve"> for those who require it is a key goal in </w:t>
      </w:r>
      <w:r>
        <w:rPr>
          <w:sz w:val="22"/>
        </w:rPr>
        <w:t>the management of severe OA</w:t>
      </w:r>
      <w:r w:rsidRPr="00AE0E83">
        <w:rPr>
          <w:sz w:val="22"/>
        </w:rPr>
        <w:t xml:space="preserve">, access to surgery is not always dictated by clinical need.  Access can be limited by a range of health professional-related and health system-related factors such as delayed referral to an orthopaedic surgeon, protracted waiting times for orthopaedic consultation and surgery, inconsistent methods for prioritizing surgical waiting lists and the availability of hospital resources.  International studies have revealed great variation </w:t>
      </w:r>
      <w:r>
        <w:rPr>
          <w:sz w:val="22"/>
        </w:rPr>
        <w:t>between</w:t>
      </w:r>
      <w:r w:rsidRPr="00AE0E83">
        <w:rPr>
          <w:sz w:val="22"/>
        </w:rPr>
        <w:t xml:space="preserve"> settings in the severity of OA before surgery</w:t>
      </w:r>
      <w:r>
        <w:rPr>
          <w:noProof/>
          <w:sz w:val="22"/>
        </w:rPr>
        <w:t>(58, 59)</w:t>
      </w:r>
      <w:r w:rsidRPr="00AE0E83">
        <w:rPr>
          <w:sz w:val="22"/>
        </w:rPr>
        <w:t xml:space="preserve"> and this is likely to reflect the lack of concrete indications for </w:t>
      </w:r>
      <w:r>
        <w:rPr>
          <w:sz w:val="22"/>
        </w:rPr>
        <w:t>arthroplasty</w:t>
      </w:r>
      <w:r w:rsidRPr="00AE0E83">
        <w:rPr>
          <w:sz w:val="22"/>
        </w:rPr>
        <w:t xml:space="preserve"> and the lack of consensus regarding the appropriate timing of surgery.  There is also substantial evidence of disparities in access to </w:t>
      </w:r>
      <w:r>
        <w:rPr>
          <w:sz w:val="22"/>
        </w:rPr>
        <w:t>hip and knee arthroplasty</w:t>
      </w:r>
      <w:r w:rsidRPr="00AE0E83">
        <w:rPr>
          <w:sz w:val="22"/>
        </w:rPr>
        <w:t xml:space="preserve"> in many countries, including those that have universal health care or parallel public and private health care systems. Disparities exist across </w:t>
      </w:r>
      <w:r w:rsidRPr="00F10380">
        <w:rPr>
          <w:sz w:val="22"/>
        </w:rPr>
        <w:t xml:space="preserve">demographic factors including race or ethnicity </w:t>
      </w:r>
      <w:r>
        <w:rPr>
          <w:noProof/>
          <w:sz w:val="22"/>
        </w:rPr>
        <w:t>(60)</w:t>
      </w:r>
      <w:r w:rsidRPr="00F10380">
        <w:rPr>
          <w:sz w:val="22"/>
        </w:rPr>
        <w:t xml:space="preserve"> and gender </w:t>
      </w:r>
      <w:r>
        <w:rPr>
          <w:noProof/>
          <w:sz w:val="22"/>
        </w:rPr>
        <w:t>(61)</w:t>
      </w:r>
      <w:r>
        <w:rPr>
          <w:sz w:val="22"/>
        </w:rPr>
        <w:t xml:space="preserve"> </w:t>
      </w:r>
      <w:r w:rsidRPr="00F10380">
        <w:rPr>
          <w:sz w:val="22"/>
        </w:rPr>
        <w:t xml:space="preserve">and socioeconomic factors such as level of education, income and health care cover </w:t>
      </w:r>
      <w:r>
        <w:rPr>
          <w:noProof/>
          <w:sz w:val="22"/>
        </w:rPr>
        <w:t>(23)</w:t>
      </w:r>
      <w:r w:rsidRPr="00F10380">
        <w:rPr>
          <w:sz w:val="22"/>
        </w:rPr>
        <w:t>.</w:t>
      </w:r>
      <w:r w:rsidRPr="00AE0E83">
        <w:rPr>
          <w:sz w:val="22"/>
        </w:rPr>
        <w:t xml:space="preserve"> For example, a Canadian population-based study found that people with less education or lower income had the greatest unmet need for hip and knee </w:t>
      </w:r>
      <w:r>
        <w:rPr>
          <w:sz w:val="22"/>
        </w:rPr>
        <w:t>arthroplasty</w:t>
      </w:r>
      <w:r>
        <w:rPr>
          <w:noProof/>
          <w:sz w:val="22"/>
        </w:rPr>
        <w:t>(62)</w:t>
      </w:r>
      <w:r>
        <w:rPr>
          <w:sz w:val="22"/>
        </w:rPr>
        <w:t xml:space="preserve"> </w:t>
      </w:r>
      <w:r w:rsidRPr="00AE0E83">
        <w:rPr>
          <w:sz w:val="22"/>
        </w:rPr>
        <w:t xml:space="preserve">and the likelihood of undergoing </w:t>
      </w:r>
      <w:r>
        <w:rPr>
          <w:sz w:val="22"/>
        </w:rPr>
        <w:t>surgery</w:t>
      </w:r>
      <w:r w:rsidRPr="00AE0E83">
        <w:rPr>
          <w:sz w:val="22"/>
        </w:rPr>
        <w:t xml:space="preserve"> has been shown to increase significantly with higher socioeconomic status in England and Canada</w:t>
      </w:r>
      <w:r>
        <w:rPr>
          <w:sz w:val="22"/>
        </w:rPr>
        <w:t>.</w:t>
      </w:r>
      <w:r>
        <w:rPr>
          <w:noProof/>
          <w:sz w:val="22"/>
        </w:rPr>
        <w:t>(63, 64)</w:t>
      </w:r>
      <w:r w:rsidRPr="00AE0E83">
        <w:rPr>
          <w:sz w:val="22"/>
        </w:rPr>
        <w:t xml:space="preserve"> In the United States, significantly lower rates of </w:t>
      </w:r>
      <w:r>
        <w:rPr>
          <w:sz w:val="22"/>
        </w:rPr>
        <w:t>hip and knee arthroplasty</w:t>
      </w:r>
      <w:r w:rsidRPr="00AE0E83">
        <w:rPr>
          <w:sz w:val="22"/>
        </w:rPr>
        <w:t xml:space="preserve"> have been reported for African American and Hispanic individuals</w:t>
      </w:r>
      <w:r>
        <w:rPr>
          <w:sz w:val="22"/>
        </w:rPr>
        <w:t>.</w:t>
      </w:r>
      <w:r>
        <w:rPr>
          <w:noProof/>
          <w:sz w:val="22"/>
        </w:rPr>
        <w:t>(65, 66)</w:t>
      </w:r>
      <w:r w:rsidRPr="00AE0E83">
        <w:rPr>
          <w:sz w:val="22"/>
        </w:rPr>
        <w:t xml:space="preserve"> Studies from Australia and the United Kingdom have found that people from lower socioeconomic background</w:t>
      </w:r>
      <w:r>
        <w:rPr>
          <w:sz w:val="22"/>
        </w:rPr>
        <w:t>s</w:t>
      </w:r>
      <w:r w:rsidRPr="00AE0E83">
        <w:rPr>
          <w:sz w:val="22"/>
        </w:rPr>
        <w:t xml:space="preserve"> had greater symptom severity before </w:t>
      </w:r>
      <w:r>
        <w:rPr>
          <w:sz w:val="22"/>
        </w:rPr>
        <w:t>arthroplasty</w:t>
      </w:r>
      <w:r>
        <w:rPr>
          <w:noProof/>
          <w:sz w:val="22"/>
        </w:rPr>
        <w:t>(67)</w:t>
      </w:r>
      <w:r w:rsidRPr="00AE0E83">
        <w:rPr>
          <w:sz w:val="22"/>
        </w:rPr>
        <w:t xml:space="preserve"> and poorer pre-operative wellbeing</w:t>
      </w:r>
      <w:r>
        <w:rPr>
          <w:noProof/>
          <w:sz w:val="22"/>
        </w:rPr>
        <w:t>(68, 69)</w:t>
      </w:r>
      <w:r w:rsidRPr="00AE0E83">
        <w:rPr>
          <w:sz w:val="22"/>
        </w:rPr>
        <w:t xml:space="preserve"> suggesting delayed access to care.  </w:t>
      </w:r>
    </w:p>
    <w:p w14:paraId="37C530BA" w14:textId="77777777" w:rsidR="008054B9" w:rsidRPr="00AE0E83" w:rsidRDefault="008054B9" w:rsidP="003071E0">
      <w:pPr>
        <w:spacing w:line="480" w:lineRule="auto"/>
        <w:jc w:val="both"/>
        <w:rPr>
          <w:sz w:val="22"/>
        </w:rPr>
      </w:pPr>
    </w:p>
    <w:p w14:paraId="22EB285D" w14:textId="77777777" w:rsidR="008054B9" w:rsidRDefault="008054B9" w:rsidP="003071E0">
      <w:pPr>
        <w:spacing w:line="480" w:lineRule="auto"/>
        <w:ind w:firstLine="720"/>
        <w:rPr>
          <w:sz w:val="22"/>
        </w:rPr>
      </w:pPr>
      <w:r w:rsidRPr="00AE0E83">
        <w:rPr>
          <w:sz w:val="22"/>
        </w:rPr>
        <w:t xml:space="preserve">Facilitating equitable access to </w:t>
      </w:r>
      <w:r>
        <w:rPr>
          <w:sz w:val="22"/>
        </w:rPr>
        <w:t>arthroplasty</w:t>
      </w:r>
      <w:r w:rsidRPr="00AE0E83">
        <w:rPr>
          <w:sz w:val="22"/>
        </w:rPr>
        <w:t xml:space="preserve"> is a complex task that will require an improved understanding of the barriers faced by people with OA.  Frameworks which adopt a holistic approach to determining need for surgery could</w:t>
      </w:r>
      <w:r>
        <w:rPr>
          <w:sz w:val="22"/>
        </w:rPr>
        <w:t xml:space="preserve"> also be valuable.</w:t>
      </w:r>
      <w:r>
        <w:rPr>
          <w:noProof/>
          <w:sz w:val="22"/>
        </w:rPr>
        <w:t>(70)</w:t>
      </w:r>
      <w:r>
        <w:rPr>
          <w:sz w:val="22"/>
        </w:rPr>
        <w:t xml:space="preserve"> Dieppe et al. </w:t>
      </w:r>
      <w:r w:rsidRPr="00AE0E83">
        <w:rPr>
          <w:sz w:val="22"/>
        </w:rPr>
        <w:t>have described a ‘capacity to benefit’ algorithm.</w:t>
      </w:r>
      <w:r>
        <w:rPr>
          <w:noProof/>
          <w:sz w:val="22"/>
        </w:rPr>
        <w:t>(71)</w:t>
      </w:r>
      <w:r w:rsidRPr="00AE0E83">
        <w:rPr>
          <w:sz w:val="22"/>
        </w:rPr>
        <w:t xml:space="preserve"> Incorporating both disease-related and treatment-related aspects, this algorithm brings together a range of factors for consideration by health professionals including the personal impact of the condition, the likely benefit of </w:t>
      </w:r>
      <w:r>
        <w:rPr>
          <w:sz w:val="22"/>
        </w:rPr>
        <w:t>arthroplasty</w:t>
      </w:r>
      <w:r w:rsidRPr="00AE0E83">
        <w:rPr>
          <w:sz w:val="22"/>
        </w:rPr>
        <w:t xml:space="preserve"> and individual preferences for treatment. This type of framework could assist in prioritizing access to </w:t>
      </w:r>
      <w:r>
        <w:rPr>
          <w:sz w:val="22"/>
        </w:rPr>
        <w:t>arthroplasty</w:t>
      </w:r>
      <w:r w:rsidRPr="00AE0E83">
        <w:rPr>
          <w:sz w:val="22"/>
        </w:rPr>
        <w:t xml:space="preserve"> for people with the greatest need and potential for improvement, given their individual circumstances. However, the conceptual framework for capacity to benefit could be expanded to </w:t>
      </w:r>
      <w:r>
        <w:rPr>
          <w:sz w:val="22"/>
        </w:rPr>
        <w:t>incorporate</w:t>
      </w:r>
      <w:r w:rsidRPr="00AE0E83">
        <w:rPr>
          <w:sz w:val="22"/>
        </w:rPr>
        <w:t xml:space="preserve"> system factors</w:t>
      </w:r>
      <w:r>
        <w:rPr>
          <w:sz w:val="22"/>
        </w:rPr>
        <w:t xml:space="preserve"> (Figure 1)</w:t>
      </w:r>
      <w:r w:rsidRPr="00AE0E83">
        <w:rPr>
          <w:sz w:val="22"/>
        </w:rPr>
        <w:t xml:space="preserve">. Whilst </w:t>
      </w:r>
      <w:r>
        <w:rPr>
          <w:sz w:val="22"/>
        </w:rPr>
        <w:t>arthroplasty</w:t>
      </w:r>
      <w:r w:rsidRPr="00AE0E83">
        <w:rPr>
          <w:sz w:val="22"/>
        </w:rPr>
        <w:t xml:space="preserve"> is cost-effective, there is evidence that </w:t>
      </w:r>
      <w:r>
        <w:rPr>
          <w:sz w:val="22"/>
        </w:rPr>
        <w:t>t</w:t>
      </w:r>
      <w:r w:rsidRPr="00AE0E83">
        <w:rPr>
          <w:sz w:val="22"/>
        </w:rPr>
        <w:t xml:space="preserve">otal </w:t>
      </w:r>
      <w:r>
        <w:rPr>
          <w:sz w:val="22"/>
        </w:rPr>
        <w:t>k</w:t>
      </w:r>
      <w:r w:rsidRPr="00AE0E83">
        <w:rPr>
          <w:sz w:val="22"/>
        </w:rPr>
        <w:t>nee arthroplasty is more costly and less effective in low volume compared to high volume centres</w:t>
      </w:r>
      <w:r>
        <w:rPr>
          <w:noProof/>
          <w:sz w:val="22"/>
        </w:rPr>
        <w:t>(57)</w:t>
      </w:r>
      <w:r w:rsidRPr="00AE0E83">
        <w:rPr>
          <w:sz w:val="22"/>
        </w:rPr>
        <w:t xml:space="preserve"> and a recent systematic review reports a “clear and consistent relationship” between higher provider (surgeon) </w:t>
      </w:r>
      <w:r>
        <w:rPr>
          <w:sz w:val="22"/>
        </w:rPr>
        <w:t>or</w:t>
      </w:r>
      <w:r w:rsidRPr="00AE0E83">
        <w:rPr>
          <w:sz w:val="22"/>
        </w:rPr>
        <w:t xml:space="preserve"> hospital volume</w:t>
      </w:r>
      <w:r>
        <w:rPr>
          <w:sz w:val="22"/>
        </w:rPr>
        <w:t>s</w:t>
      </w:r>
      <w:r w:rsidRPr="00AE0E83">
        <w:rPr>
          <w:sz w:val="22"/>
        </w:rPr>
        <w:t xml:space="preserve"> and improved </w:t>
      </w:r>
      <w:r>
        <w:rPr>
          <w:sz w:val="22"/>
        </w:rPr>
        <w:t>patient</w:t>
      </w:r>
      <w:r w:rsidRPr="00AE0E83">
        <w:rPr>
          <w:sz w:val="22"/>
        </w:rPr>
        <w:t xml:space="preserve"> outcomes.</w:t>
      </w:r>
      <w:r>
        <w:rPr>
          <w:noProof/>
          <w:sz w:val="22"/>
        </w:rPr>
        <w:t>(72)</w:t>
      </w:r>
      <w:r w:rsidRPr="00AE0E83">
        <w:rPr>
          <w:sz w:val="22"/>
        </w:rPr>
        <w:t xml:space="preserve"> </w:t>
      </w:r>
      <w:r>
        <w:rPr>
          <w:sz w:val="22"/>
        </w:rPr>
        <w:t>At the clinical interface, use of patient</w:t>
      </w:r>
      <w:r w:rsidRPr="00AE0E83">
        <w:rPr>
          <w:sz w:val="22"/>
        </w:rPr>
        <w:t xml:space="preserve"> </w:t>
      </w:r>
      <w:r>
        <w:rPr>
          <w:sz w:val="22"/>
        </w:rPr>
        <w:t xml:space="preserve">decision aids, which been </w:t>
      </w:r>
      <w:r w:rsidRPr="00AE0E83">
        <w:rPr>
          <w:sz w:val="22"/>
        </w:rPr>
        <w:t xml:space="preserve">shown to improve knowledge, improve treatment expectation and reduce decisional conflict, </w:t>
      </w:r>
      <w:r>
        <w:rPr>
          <w:noProof/>
          <w:sz w:val="22"/>
        </w:rPr>
        <w:t>(73)</w:t>
      </w:r>
      <w:r>
        <w:rPr>
          <w:sz w:val="22"/>
        </w:rPr>
        <w:t>could assist patients with decision making about arthroplasty.</w:t>
      </w:r>
      <w:r>
        <w:rPr>
          <w:noProof/>
          <w:sz w:val="22"/>
        </w:rPr>
        <w:t>(74)</w:t>
      </w:r>
      <w:r w:rsidRPr="00AE0E83">
        <w:rPr>
          <w:sz w:val="22"/>
        </w:rPr>
        <w:t xml:space="preserve">  </w:t>
      </w:r>
    </w:p>
    <w:p w14:paraId="327834A1" w14:textId="77777777" w:rsidR="008054B9" w:rsidRPr="00AE0E83" w:rsidRDefault="008054B9" w:rsidP="003071E0">
      <w:pPr>
        <w:spacing w:line="480" w:lineRule="auto"/>
        <w:rPr>
          <w:sz w:val="22"/>
        </w:rPr>
      </w:pPr>
    </w:p>
    <w:p w14:paraId="4887CAD9" w14:textId="77777777" w:rsidR="008054B9" w:rsidRPr="00AE0E83" w:rsidRDefault="008054B9" w:rsidP="003071E0">
      <w:pPr>
        <w:spacing w:line="480" w:lineRule="auto"/>
        <w:rPr>
          <w:sz w:val="22"/>
          <w:u w:val="single"/>
        </w:rPr>
      </w:pPr>
      <w:r w:rsidRPr="00AE0E83">
        <w:rPr>
          <w:sz w:val="22"/>
          <w:u w:val="single"/>
        </w:rPr>
        <w:t>Appropriate use of Arthroscopy in OA</w:t>
      </w:r>
    </w:p>
    <w:p w14:paraId="1C7DAFD1" w14:textId="77777777" w:rsidR="008054B9" w:rsidRPr="00AE0E83" w:rsidRDefault="008054B9" w:rsidP="003071E0">
      <w:pPr>
        <w:autoSpaceDE w:val="0"/>
        <w:autoSpaceDN w:val="0"/>
        <w:adjustRightInd w:val="0"/>
        <w:spacing w:line="480" w:lineRule="auto"/>
        <w:ind w:firstLine="720"/>
        <w:rPr>
          <w:sz w:val="22"/>
        </w:rPr>
      </w:pPr>
      <w:r w:rsidRPr="00AE0E83">
        <w:rPr>
          <w:sz w:val="22"/>
        </w:rPr>
        <w:t xml:space="preserve">In contrast to </w:t>
      </w:r>
      <w:r>
        <w:rPr>
          <w:sz w:val="22"/>
        </w:rPr>
        <w:t>arthroplasty</w:t>
      </w:r>
      <w:r w:rsidRPr="00AE0E83">
        <w:rPr>
          <w:sz w:val="22"/>
        </w:rPr>
        <w:t>, there is a lack of evidence for use of arthroscopy in OA</w:t>
      </w:r>
      <w:r>
        <w:rPr>
          <w:sz w:val="22"/>
        </w:rPr>
        <w:t>, uncomplicated by</w:t>
      </w:r>
      <w:r w:rsidRPr="00AE0E83">
        <w:rPr>
          <w:sz w:val="22"/>
        </w:rPr>
        <w:t xml:space="preserve"> major mechanical derangement. The use of lavage and arthroscopic debridement for the treatment of knee </w:t>
      </w:r>
      <w:r>
        <w:rPr>
          <w:sz w:val="22"/>
        </w:rPr>
        <w:t>OA</w:t>
      </w:r>
      <w:r w:rsidRPr="00AE0E83">
        <w:rPr>
          <w:sz w:val="22"/>
        </w:rPr>
        <w:t xml:space="preserve"> has been common since the 1970s for </w:t>
      </w:r>
      <w:r>
        <w:rPr>
          <w:sz w:val="22"/>
        </w:rPr>
        <w:t>patient</w:t>
      </w:r>
      <w:r w:rsidRPr="00AE0E83">
        <w:rPr>
          <w:sz w:val="22"/>
        </w:rPr>
        <w:t xml:space="preserve">s whose joint disease is not severe enough to require </w:t>
      </w:r>
      <w:r>
        <w:rPr>
          <w:sz w:val="22"/>
        </w:rPr>
        <w:t>arthroplasty</w:t>
      </w:r>
      <w:r w:rsidRPr="00AE0E83">
        <w:rPr>
          <w:sz w:val="22"/>
        </w:rPr>
        <w:t xml:space="preserve">.  Most of the early studies evaluating knee arthroscopy for treatment of OA showed a benefit in the majority of </w:t>
      </w:r>
      <w:r>
        <w:rPr>
          <w:sz w:val="22"/>
        </w:rPr>
        <w:t>patient</w:t>
      </w:r>
      <w:r w:rsidRPr="00AE0E83">
        <w:rPr>
          <w:sz w:val="22"/>
        </w:rPr>
        <w:t>s, but these studies were small, uncontrolled and did not use validated outcomes measures.</w:t>
      </w:r>
      <w:r>
        <w:rPr>
          <w:noProof/>
          <w:sz w:val="22"/>
        </w:rPr>
        <w:t>(75-78)</w:t>
      </w:r>
    </w:p>
    <w:p w14:paraId="1CCE9542" w14:textId="77777777" w:rsidR="008054B9" w:rsidRDefault="008054B9" w:rsidP="003071E0">
      <w:pPr>
        <w:autoSpaceDE w:val="0"/>
        <w:autoSpaceDN w:val="0"/>
        <w:adjustRightInd w:val="0"/>
        <w:spacing w:line="480" w:lineRule="auto"/>
        <w:ind w:firstLine="720"/>
        <w:rPr>
          <w:sz w:val="22"/>
        </w:rPr>
      </w:pPr>
    </w:p>
    <w:p w14:paraId="3C40BE86" w14:textId="77777777" w:rsidR="008054B9" w:rsidRPr="00AE0E83" w:rsidRDefault="008054B9" w:rsidP="003071E0">
      <w:pPr>
        <w:autoSpaceDE w:val="0"/>
        <w:autoSpaceDN w:val="0"/>
        <w:adjustRightInd w:val="0"/>
        <w:spacing w:line="480" w:lineRule="auto"/>
        <w:ind w:firstLine="720"/>
        <w:rPr>
          <w:sz w:val="22"/>
        </w:rPr>
      </w:pPr>
      <w:r w:rsidRPr="00AE0E83">
        <w:rPr>
          <w:sz w:val="22"/>
        </w:rPr>
        <w:t xml:space="preserve">In 2002, </w:t>
      </w:r>
      <w:r>
        <w:rPr>
          <w:sz w:val="22"/>
        </w:rPr>
        <w:t xml:space="preserve">Moseley et al. randomly assigned </w:t>
      </w:r>
      <w:r w:rsidRPr="00AE0E83">
        <w:rPr>
          <w:sz w:val="22"/>
        </w:rPr>
        <w:t>180 military veterans with knee OA</w:t>
      </w:r>
      <w:r>
        <w:rPr>
          <w:sz w:val="22"/>
        </w:rPr>
        <w:t xml:space="preserve"> </w:t>
      </w:r>
      <w:r w:rsidRPr="00AE0E83">
        <w:rPr>
          <w:sz w:val="22"/>
        </w:rPr>
        <w:t>to receive an arthroscopic debridement, arthroscopic lavage or placebo surgery.</w:t>
      </w:r>
      <w:r>
        <w:rPr>
          <w:noProof/>
          <w:sz w:val="22"/>
        </w:rPr>
        <w:t>(79)</w:t>
      </w:r>
      <w:r w:rsidRPr="00AE0E83">
        <w:rPr>
          <w:sz w:val="22"/>
        </w:rPr>
        <w:t xml:space="preserve"> During the 2 year follow-up period, no significant benefit was evident for </w:t>
      </w:r>
      <w:r>
        <w:rPr>
          <w:sz w:val="22"/>
        </w:rPr>
        <w:t>patient</w:t>
      </w:r>
      <w:r w:rsidRPr="00AE0E83">
        <w:rPr>
          <w:sz w:val="22"/>
        </w:rPr>
        <w:t xml:space="preserve">s who received arthroscopy, compared with those who received placebo surgery.  While this study was criticized for a number of methodological concerns, </w:t>
      </w:r>
      <w:r>
        <w:rPr>
          <w:noProof/>
          <w:sz w:val="22"/>
        </w:rPr>
        <w:t>(80, 81)</w:t>
      </w:r>
      <w:r>
        <w:rPr>
          <w:sz w:val="22"/>
        </w:rPr>
        <w:t xml:space="preserve"> </w:t>
      </w:r>
      <w:r w:rsidRPr="00AE0E83">
        <w:rPr>
          <w:sz w:val="22"/>
        </w:rPr>
        <w:t xml:space="preserve">subsequent studies </w:t>
      </w:r>
      <w:r>
        <w:rPr>
          <w:sz w:val="22"/>
        </w:rPr>
        <w:t>support lack of benefit for</w:t>
      </w:r>
      <w:r w:rsidRPr="00AE0E83">
        <w:rPr>
          <w:sz w:val="22"/>
        </w:rPr>
        <w:t xml:space="preserve"> </w:t>
      </w:r>
      <w:r>
        <w:rPr>
          <w:sz w:val="22"/>
        </w:rPr>
        <w:t>patient</w:t>
      </w:r>
      <w:r w:rsidRPr="00AE0E83">
        <w:rPr>
          <w:sz w:val="22"/>
        </w:rPr>
        <w:t>s without symptoms of mechanical derangement and bone fragments.</w:t>
      </w:r>
      <w:r>
        <w:rPr>
          <w:noProof/>
          <w:sz w:val="22"/>
        </w:rPr>
        <w:t>(82)</w:t>
      </w:r>
      <w:r>
        <w:rPr>
          <w:sz w:val="22"/>
        </w:rPr>
        <w:t>Despite this evidence</w:t>
      </w:r>
      <w:r w:rsidRPr="00AE0E83">
        <w:rPr>
          <w:sz w:val="22"/>
        </w:rPr>
        <w:t xml:space="preserve">, studies in the </w:t>
      </w:r>
      <w:r>
        <w:rPr>
          <w:sz w:val="22"/>
        </w:rPr>
        <w:t>UK</w:t>
      </w:r>
      <w:r w:rsidRPr="00AE0E83">
        <w:rPr>
          <w:sz w:val="22"/>
        </w:rPr>
        <w:t>, Canada and Australia have demonstrated that rate</w:t>
      </w:r>
      <w:r>
        <w:rPr>
          <w:sz w:val="22"/>
        </w:rPr>
        <w:t>s</w:t>
      </w:r>
      <w:r w:rsidRPr="00AE0E83">
        <w:rPr>
          <w:sz w:val="22"/>
        </w:rPr>
        <w:t xml:space="preserve"> of knee arthroscopies among </w:t>
      </w:r>
      <w:r>
        <w:rPr>
          <w:sz w:val="22"/>
        </w:rPr>
        <w:t>patient</w:t>
      </w:r>
      <w:r w:rsidRPr="00AE0E83">
        <w:rPr>
          <w:sz w:val="22"/>
        </w:rPr>
        <w:t>s with OA has not decreased since 2002.</w:t>
      </w:r>
      <w:r>
        <w:rPr>
          <w:noProof/>
          <w:sz w:val="22"/>
        </w:rPr>
        <w:t>(24, 26)</w:t>
      </w:r>
      <w:r w:rsidRPr="00AE0E83">
        <w:rPr>
          <w:sz w:val="22"/>
        </w:rPr>
        <w:t xml:space="preserve">  </w:t>
      </w:r>
    </w:p>
    <w:p w14:paraId="1AD9E157" w14:textId="77777777" w:rsidR="008054B9" w:rsidRDefault="008054B9" w:rsidP="003071E0">
      <w:pPr>
        <w:autoSpaceDE w:val="0"/>
        <w:autoSpaceDN w:val="0"/>
        <w:adjustRightInd w:val="0"/>
        <w:spacing w:line="480" w:lineRule="auto"/>
        <w:rPr>
          <w:sz w:val="22"/>
        </w:rPr>
      </w:pPr>
      <w:r>
        <w:rPr>
          <w:sz w:val="22"/>
        </w:rPr>
        <w:t>T</w:t>
      </w:r>
      <w:r w:rsidRPr="00AE0E83">
        <w:rPr>
          <w:sz w:val="22"/>
        </w:rPr>
        <w:t>here are guidelines available to support decision-making for surgical intervention for OA</w:t>
      </w:r>
      <w:r>
        <w:rPr>
          <w:noProof/>
          <w:sz w:val="22"/>
        </w:rPr>
        <w:t>(83, 84)</w:t>
      </w:r>
      <w:r>
        <w:rPr>
          <w:sz w:val="22"/>
        </w:rPr>
        <w:t xml:space="preserve"> and the reasons for failure to take up this evidence are unclear. The UK and Canadian data, including data to 2004, may have been too early to capture change, however the</w:t>
      </w:r>
      <w:r w:rsidRPr="00AE0E83">
        <w:rPr>
          <w:sz w:val="22"/>
        </w:rPr>
        <w:t xml:space="preserve"> Australia</w:t>
      </w:r>
      <w:r>
        <w:rPr>
          <w:sz w:val="22"/>
        </w:rPr>
        <w:t>n study</w:t>
      </w:r>
      <w:r w:rsidRPr="00AE0E83">
        <w:rPr>
          <w:sz w:val="22"/>
        </w:rPr>
        <w:t xml:space="preserve"> reviewed data up to 2009.  </w:t>
      </w:r>
      <w:r>
        <w:rPr>
          <w:sz w:val="22"/>
        </w:rPr>
        <w:t>Patient</w:t>
      </w:r>
      <w:r w:rsidRPr="00AE0E83">
        <w:rPr>
          <w:sz w:val="22"/>
        </w:rPr>
        <w:t>s may preferentially seek surgical intervention before trying more conservative approaches</w:t>
      </w:r>
      <w:r>
        <w:rPr>
          <w:sz w:val="22"/>
        </w:rPr>
        <w:t xml:space="preserve"> and </w:t>
      </w:r>
      <w:r w:rsidRPr="00AE0E83">
        <w:rPr>
          <w:sz w:val="22"/>
        </w:rPr>
        <w:t xml:space="preserve">younger </w:t>
      </w:r>
      <w:r>
        <w:rPr>
          <w:sz w:val="22"/>
        </w:rPr>
        <w:t>patient</w:t>
      </w:r>
      <w:r w:rsidRPr="00AE0E83">
        <w:rPr>
          <w:sz w:val="22"/>
        </w:rPr>
        <w:t xml:space="preserve">s </w:t>
      </w:r>
      <w:r>
        <w:rPr>
          <w:sz w:val="22"/>
        </w:rPr>
        <w:t xml:space="preserve">may seek less invasive surgical options </w:t>
      </w:r>
      <w:r w:rsidRPr="00AE0E83">
        <w:rPr>
          <w:sz w:val="22"/>
        </w:rPr>
        <w:t xml:space="preserve">in order to delay </w:t>
      </w:r>
      <w:r>
        <w:rPr>
          <w:sz w:val="22"/>
        </w:rPr>
        <w:t>arthroplasty</w:t>
      </w:r>
      <w:r w:rsidRPr="00AE0E83">
        <w:rPr>
          <w:sz w:val="22"/>
        </w:rPr>
        <w:t xml:space="preserve">.  </w:t>
      </w:r>
      <w:r>
        <w:rPr>
          <w:sz w:val="22"/>
        </w:rPr>
        <w:t xml:space="preserve">In addition, </w:t>
      </w:r>
      <w:r w:rsidRPr="00AE0E83">
        <w:rPr>
          <w:sz w:val="22"/>
        </w:rPr>
        <w:t>clinical decision-making involves balancing research evidence with clinical experience.</w:t>
      </w:r>
      <w:r>
        <w:rPr>
          <w:noProof/>
          <w:sz w:val="22"/>
        </w:rPr>
        <w:t>(85)</w:t>
      </w:r>
      <w:r w:rsidRPr="00AE0E83">
        <w:rPr>
          <w:sz w:val="22"/>
        </w:rPr>
        <w:t xml:space="preserve"> If </w:t>
      </w:r>
      <w:r>
        <w:rPr>
          <w:sz w:val="22"/>
        </w:rPr>
        <w:t>a health care provider’</w:t>
      </w:r>
      <w:r w:rsidRPr="00AE0E83">
        <w:rPr>
          <w:sz w:val="22"/>
        </w:rPr>
        <w:t xml:space="preserve">s experience with using a procedure conflicts with research evidence, they may </w:t>
      </w:r>
      <w:r>
        <w:rPr>
          <w:sz w:val="22"/>
        </w:rPr>
        <w:t>judge the former more highly (availability bias).</w:t>
      </w:r>
      <w:r w:rsidRPr="00AE0E83">
        <w:rPr>
          <w:sz w:val="22"/>
        </w:rPr>
        <w:t xml:space="preserve"> </w:t>
      </w:r>
    </w:p>
    <w:p w14:paraId="33A68519" w14:textId="77777777" w:rsidR="008054B9" w:rsidRDefault="008054B9" w:rsidP="003071E0">
      <w:pPr>
        <w:autoSpaceDE w:val="0"/>
        <w:autoSpaceDN w:val="0"/>
        <w:adjustRightInd w:val="0"/>
        <w:spacing w:line="480" w:lineRule="auto"/>
        <w:rPr>
          <w:sz w:val="22"/>
        </w:rPr>
      </w:pPr>
    </w:p>
    <w:p w14:paraId="164CD64B" w14:textId="77777777" w:rsidR="008054B9" w:rsidRDefault="008054B9" w:rsidP="003071E0">
      <w:pPr>
        <w:autoSpaceDE w:val="0"/>
        <w:autoSpaceDN w:val="0"/>
        <w:adjustRightInd w:val="0"/>
        <w:spacing w:line="480" w:lineRule="auto"/>
        <w:ind w:firstLine="720"/>
        <w:rPr>
          <w:sz w:val="22"/>
        </w:rPr>
      </w:pPr>
      <w:r>
        <w:rPr>
          <w:sz w:val="22"/>
        </w:rPr>
        <w:t xml:space="preserve">Overall, whilst </w:t>
      </w:r>
      <w:r w:rsidRPr="00AE0E83">
        <w:rPr>
          <w:sz w:val="22"/>
        </w:rPr>
        <w:t>there is good evidence that clinical practice guidelines positively influence delivery of the process of care</w:t>
      </w:r>
      <w:r>
        <w:rPr>
          <w:sz w:val="22"/>
        </w:rPr>
        <w:t>,</w:t>
      </w:r>
      <w:r>
        <w:rPr>
          <w:noProof/>
          <w:sz w:val="22"/>
        </w:rPr>
        <w:t>(86)</w:t>
      </w:r>
      <w:r>
        <w:rPr>
          <w:sz w:val="22"/>
        </w:rPr>
        <w:t xml:space="preserve"> </w:t>
      </w:r>
      <w:r w:rsidRPr="00AE0E83">
        <w:rPr>
          <w:sz w:val="22"/>
        </w:rPr>
        <w:t xml:space="preserve">the reported benefits for </w:t>
      </w:r>
      <w:r>
        <w:rPr>
          <w:sz w:val="22"/>
        </w:rPr>
        <w:t>patient</w:t>
      </w:r>
      <w:r w:rsidRPr="00AE0E83">
        <w:rPr>
          <w:sz w:val="22"/>
        </w:rPr>
        <w:t xml:space="preserve"> health outcomes are less well established and sometimes conflicting.</w:t>
      </w:r>
      <w:r>
        <w:rPr>
          <w:noProof/>
          <w:sz w:val="22"/>
        </w:rPr>
        <w:t>(87-90)</w:t>
      </w:r>
      <w:r w:rsidRPr="00AE0E83">
        <w:rPr>
          <w:sz w:val="22"/>
        </w:rPr>
        <w:t xml:space="preserve"> The reasons for variable uptake are many, however evidence suggests effective decision support systems need to</w:t>
      </w:r>
      <w:r>
        <w:rPr>
          <w:sz w:val="22"/>
        </w:rPr>
        <w:t>:</w:t>
      </w:r>
    </w:p>
    <w:p w14:paraId="1CC5B64B" w14:textId="77777777" w:rsidR="008054B9" w:rsidRDefault="008054B9" w:rsidP="003071E0">
      <w:pPr>
        <w:autoSpaceDE w:val="0"/>
        <w:autoSpaceDN w:val="0"/>
        <w:adjustRightInd w:val="0"/>
        <w:spacing w:line="480" w:lineRule="auto"/>
        <w:rPr>
          <w:sz w:val="22"/>
        </w:rPr>
      </w:pPr>
      <w:r>
        <w:rPr>
          <w:sz w:val="22"/>
        </w:rPr>
        <w:t>-</w:t>
      </w:r>
      <w:r w:rsidRPr="00AE0E83">
        <w:rPr>
          <w:sz w:val="22"/>
        </w:rPr>
        <w:t xml:space="preserve"> be automatically provided as part of workflow</w:t>
      </w:r>
      <w:r>
        <w:rPr>
          <w:sz w:val="22"/>
        </w:rPr>
        <w:t>;</w:t>
      </w:r>
      <w:r w:rsidRPr="00AE0E83">
        <w:rPr>
          <w:sz w:val="22"/>
        </w:rPr>
        <w:t xml:space="preserve"> </w:t>
      </w:r>
    </w:p>
    <w:p w14:paraId="67EF13D1" w14:textId="77777777" w:rsidR="008054B9" w:rsidRDefault="008054B9" w:rsidP="003071E0">
      <w:pPr>
        <w:autoSpaceDE w:val="0"/>
        <w:autoSpaceDN w:val="0"/>
        <w:adjustRightInd w:val="0"/>
        <w:spacing w:line="480" w:lineRule="auto"/>
        <w:rPr>
          <w:sz w:val="22"/>
        </w:rPr>
      </w:pPr>
      <w:r>
        <w:rPr>
          <w:sz w:val="22"/>
        </w:rPr>
        <w:t xml:space="preserve">- </w:t>
      </w:r>
      <w:r w:rsidRPr="00AE0E83">
        <w:rPr>
          <w:sz w:val="22"/>
        </w:rPr>
        <w:t>provide recommendations rather than assessments</w:t>
      </w:r>
      <w:r>
        <w:rPr>
          <w:sz w:val="22"/>
        </w:rPr>
        <w:t>;</w:t>
      </w:r>
      <w:r w:rsidRPr="00AE0E83">
        <w:rPr>
          <w:sz w:val="22"/>
        </w:rPr>
        <w:t xml:space="preserve"> </w:t>
      </w:r>
    </w:p>
    <w:p w14:paraId="59D81815" w14:textId="77777777" w:rsidR="008054B9" w:rsidRDefault="008054B9" w:rsidP="003071E0">
      <w:pPr>
        <w:autoSpaceDE w:val="0"/>
        <w:autoSpaceDN w:val="0"/>
        <w:adjustRightInd w:val="0"/>
        <w:spacing w:line="480" w:lineRule="auto"/>
        <w:rPr>
          <w:sz w:val="22"/>
        </w:rPr>
      </w:pPr>
      <w:r>
        <w:rPr>
          <w:sz w:val="22"/>
        </w:rPr>
        <w:t xml:space="preserve">- </w:t>
      </w:r>
      <w:r w:rsidRPr="00AE0E83">
        <w:rPr>
          <w:sz w:val="22"/>
        </w:rPr>
        <w:t>be provided at the point (time and location) of decision-making</w:t>
      </w:r>
      <w:r>
        <w:rPr>
          <w:sz w:val="22"/>
        </w:rPr>
        <w:t>;</w:t>
      </w:r>
      <w:r w:rsidRPr="00AE0E83">
        <w:rPr>
          <w:sz w:val="22"/>
        </w:rPr>
        <w:t xml:space="preserve"> and </w:t>
      </w:r>
    </w:p>
    <w:p w14:paraId="5220D1B1" w14:textId="77777777" w:rsidR="008054B9" w:rsidRDefault="008054B9" w:rsidP="003071E0">
      <w:pPr>
        <w:autoSpaceDE w:val="0"/>
        <w:autoSpaceDN w:val="0"/>
        <w:adjustRightInd w:val="0"/>
        <w:spacing w:line="480" w:lineRule="auto"/>
        <w:rPr>
          <w:sz w:val="22"/>
        </w:rPr>
      </w:pPr>
      <w:r>
        <w:rPr>
          <w:sz w:val="22"/>
        </w:rPr>
        <w:t xml:space="preserve">- </w:t>
      </w:r>
      <w:r w:rsidRPr="00AE0E83">
        <w:rPr>
          <w:sz w:val="22"/>
        </w:rPr>
        <w:t>be computer-based.</w:t>
      </w:r>
      <w:r>
        <w:rPr>
          <w:noProof/>
          <w:sz w:val="22"/>
        </w:rPr>
        <w:t>(86)</w:t>
      </w:r>
      <w:r w:rsidRPr="00AE0E83">
        <w:rPr>
          <w:sz w:val="22"/>
        </w:rPr>
        <w:t xml:space="preserve"> </w:t>
      </w:r>
    </w:p>
    <w:p w14:paraId="50195B00" w14:textId="77777777" w:rsidR="008054B9" w:rsidRDefault="008054B9" w:rsidP="003071E0">
      <w:pPr>
        <w:autoSpaceDE w:val="0"/>
        <w:autoSpaceDN w:val="0"/>
        <w:adjustRightInd w:val="0"/>
        <w:spacing w:line="480" w:lineRule="auto"/>
        <w:rPr>
          <w:sz w:val="22"/>
        </w:rPr>
      </w:pPr>
    </w:p>
    <w:p w14:paraId="77C4F7D2" w14:textId="77777777" w:rsidR="008054B9" w:rsidRDefault="008054B9" w:rsidP="003071E0">
      <w:pPr>
        <w:autoSpaceDE w:val="0"/>
        <w:autoSpaceDN w:val="0"/>
        <w:adjustRightInd w:val="0"/>
        <w:spacing w:line="480" w:lineRule="auto"/>
        <w:ind w:firstLine="720"/>
        <w:rPr>
          <w:sz w:val="22"/>
        </w:rPr>
      </w:pPr>
      <w:r w:rsidRPr="00AE0E83">
        <w:rPr>
          <w:sz w:val="22"/>
        </w:rPr>
        <w:t>Further, there needs to be assessment of the ‘implementability’, and potential adaptation of recommendations to different settings, whilst retaining fidelity of recommendation key principles.</w:t>
      </w:r>
      <w:r>
        <w:rPr>
          <w:noProof/>
          <w:sz w:val="22"/>
        </w:rPr>
        <w:t>(91, 92)</w:t>
      </w:r>
      <w:r>
        <w:rPr>
          <w:sz w:val="22"/>
        </w:rPr>
        <w:t xml:space="preserve"> Other methods of delivering guideline recommendations also need to be researched. For instance use of social media, for which there are high levels of physician acceptance, although again effectiveness is likely to depend upon perceived ease of use and usefulness. </w:t>
      </w:r>
      <w:r>
        <w:rPr>
          <w:noProof/>
          <w:sz w:val="22"/>
        </w:rPr>
        <w:t>(93)</w:t>
      </w:r>
      <w:r>
        <w:rPr>
          <w:sz w:val="22"/>
        </w:rPr>
        <w:t xml:space="preserve">  </w:t>
      </w:r>
    </w:p>
    <w:p w14:paraId="5A6437E9" w14:textId="77777777" w:rsidR="008054B9" w:rsidRDefault="008054B9" w:rsidP="003071E0">
      <w:pPr>
        <w:autoSpaceDE w:val="0"/>
        <w:autoSpaceDN w:val="0"/>
        <w:adjustRightInd w:val="0"/>
        <w:spacing w:line="480" w:lineRule="auto"/>
        <w:ind w:firstLine="720"/>
        <w:rPr>
          <w:sz w:val="22"/>
        </w:rPr>
      </w:pPr>
      <w:r w:rsidRPr="00AE0E83">
        <w:rPr>
          <w:sz w:val="22"/>
        </w:rPr>
        <w:t xml:space="preserve">Changes in funding models could also influence treatment patterns. For instance since 2004, the </w:t>
      </w:r>
      <w:r>
        <w:rPr>
          <w:sz w:val="22"/>
        </w:rPr>
        <w:t>US</w:t>
      </w:r>
      <w:r w:rsidRPr="00AE0E83">
        <w:rPr>
          <w:sz w:val="22"/>
        </w:rPr>
        <w:t xml:space="preserve"> Medicare system no longer reimburses providers for knee arthroscopies used to treat OA in the public system</w:t>
      </w:r>
      <w:r>
        <w:rPr>
          <w:sz w:val="22"/>
        </w:rPr>
        <w:t>.</w:t>
      </w:r>
      <w:r w:rsidRPr="00AE0E83">
        <w:rPr>
          <w:sz w:val="22"/>
        </w:rPr>
        <w:t xml:space="preserve"> However, as most knee arthroscopies occur in private settings, this </w:t>
      </w:r>
      <w:r>
        <w:rPr>
          <w:sz w:val="22"/>
        </w:rPr>
        <w:t xml:space="preserve">policy </w:t>
      </w:r>
      <w:r w:rsidRPr="00AE0E83">
        <w:rPr>
          <w:sz w:val="22"/>
        </w:rPr>
        <w:t xml:space="preserve">may not gain traction and influence practice. It may also result in perverse changes in coding behaviours. Kim </w:t>
      </w:r>
      <w:r w:rsidRPr="00AE0E83">
        <w:rPr>
          <w:i/>
          <w:sz w:val="22"/>
        </w:rPr>
        <w:t>et al</w:t>
      </w:r>
      <w:r w:rsidRPr="00AE0E83">
        <w:rPr>
          <w:sz w:val="22"/>
        </w:rPr>
        <w:t xml:space="preserve"> suggest that surgeons in the US are now listing the diagnostic codes for </w:t>
      </w:r>
      <w:r>
        <w:rPr>
          <w:sz w:val="22"/>
        </w:rPr>
        <w:t>patient</w:t>
      </w:r>
      <w:r w:rsidRPr="00AE0E83">
        <w:rPr>
          <w:sz w:val="22"/>
        </w:rPr>
        <w:t>s with OA as having meniscal tears for the purposes of insurance authorisation.</w:t>
      </w:r>
      <w:r>
        <w:rPr>
          <w:noProof/>
          <w:sz w:val="22"/>
        </w:rPr>
        <w:t>(25)</w:t>
      </w:r>
      <w:r>
        <w:rPr>
          <w:sz w:val="22"/>
        </w:rPr>
        <w:t xml:space="preserve"> As for arthroplasty, the utility of patient decision aids should be investigated for decision-making for arthroscopy in OA. </w:t>
      </w:r>
    </w:p>
    <w:p w14:paraId="51C1D2F7" w14:textId="77777777" w:rsidR="008054B9" w:rsidRPr="00AE0E83" w:rsidRDefault="008054B9" w:rsidP="003071E0">
      <w:pPr>
        <w:pStyle w:val="Body"/>
        <w:suppressLineNumbers/>
        <w:spacing w:line="480" w:lineRule="auto"/>
        <w:ind w:firstLine="0"/>
        <w:rPr>
          <w:sz w:val="22"/>
          <w:szCs w:val="24"/>
        </w:rPr>
      </w:pPr>
      <w:r w:rsidRPr="00AE0E83">
        <w:rPr>
          <w:sz w:val="22"/>
          <w:szCs w:val="24"/>
        </w:rPr>
        <w:t xml:space="preserve">   </w:t>
      </w:r>
    </w:p>
    <w:p w14:paraId="13C72819" w14:textId="77777777" w:rsidR="008054B9" w:rsidRPr="00AE0E83" w:rsidRDefault="008054B9" w:rsidP="003071E0">
      <w:pPr>
        <w:spacing w:line="480" w:lineRule="auto"/>
        <w:rPr>
          <w:sz w:val="22"/>
        </w:rPr>
      </w:pPr>
    </w:p>
    <w:p w14:paraId="5A59FCCE" w14:textId="77777777" w:rsidR="008054B9" w:rsidRPr="00AE0E83" w:rsidRDefault="008054B9" w:rsidP="003071E0">
      <w:pPr>
        <w:pStyle w:val="Heading3"/>
        <w:spacing w:line="480" w:lineRule="auto"/>
        <w:rPr>
          <w:rFonts w:ascii="Times New Roman" w:hAnsi="Times New Roman"/>
          <w:sz w:val="22"/>
        </w:rPr>
      </w:pPr>
      <w:r>
        <w:rPr>
          <w:sz w:val="22"/>
        </w:rPr>
        <w:t>E</w:t>
      </w:r>
      <w:r w:rsidRPr="00AE0E83">
        <w:rPr>
          <w:rFonts w:ascii="Times New Roman" w:hAnsi="Times New Roman"/>
          <w:sz w:val="22"/>
        </w:rPr>
        <w:t xml:space="preserve">fficiency </w:t>
      </w:r>
      <w:r>
        <w:rPr>
          <w:rFonts w:ascii="Times New Roman" w:hAnsi="Times New Roman"/>
          <w:sz w:val="22"/>
        </w:rPr>
        <w:t xml:space="preserve">and OA care </w:t>
      </w:r>
    </w:p>
    <w:p w14:paraId="49444DBE" w14:textId="77777777" w:rsidR="008054B9" w:rsidRPr="00C67C31" w:rsidRDefault="008054B9" w:rsidP="003071E0">
      <w:pPr>
        <w:spacing w:line="480" w:lineRule="auto"/>
        <w:ind w:firstLine="720"/>
        <w:rPr>
          <w:sz w:val="22"/>
        </w:rPr>
      </w:pPr>
      <w:r w:rsidRPr="00AE0E83">
        <w:rPr>
          <w:sz w:val="22"/>
        </w:rPr>
        <w:t>An efficient health care system will use resources to get the best value for the money spent.</w:t>
      </w:r>
      <w:r>
        <w:rPr>
          <w:noProof/>
          <w:sz w:val="22"/>
        </w:rPr>
        <w:t>(94)</w:t>
      </w:r>
      <w:r w:rsidRPr="00AE0E83">
        <w:rPr>
          <w:sz w:val="22"/>
        </w:rPr>
        <w:t xml:space="preserve"> It is important to </w:t>
      </w:r>
      <w:r>
        <w:rPr>
          <w:sz w:val="22"/>
        </w:rPr>
        <w:t>patient</w:t>
      </w:r>
      <w:r w:rsidRPr="00AE0E83">
        <w:rPr>
          <w:sz w:val="22"/>
        </w:rPr>
        <w:t xml:space="preserve">s, managers and funding providers that services are </w:t>
      </w:r>
      <w:r>
        <w:rPr>
          <w:sz w:val="22"/>
        </w:rPr>
        <w:t xml:space="preserve">provided </w:t>
      </w:r>
      <w:r w:rsidRPr="00AE0E83">
        <w:rPr>
          <w:sz w:val="22"/>
        </w:rPr>
        <w:t>efficient</w:t>
      </w:r>
      <w:r>
        <w:rPr>
          <w:sz w:val="22"/>
        </w:rPr>
        <w:t>ly</w:t>
      </w:r>
      <w:r w:rsidRPr="00AE0E83">
        <w:rPr>
          <w:sz w:val="22"/>
        </w:rPr>
        <w:t xml:space="preserve"> although </w:t>
      </w:r>
      <w:r>
        <w:rPr>
          <w:sz w:val="22"/>
        </w:rPr>
        <w:t>how</w:t>
      </w:r>
      <w:r w:rsidRPr="00AE0E83">
        <w:rPr>
          <w:sz w:val="22"/>
        </w:rPr>
        <w:t xml:space="preserve"> efficiency is perceived and </w:t>
      </w:r>
      <w:r>
        <w:rPr>
          <w:sz w:val="22"/>
        </w:rPr>
        <w:t>measured</w:t>
      </w:r>
      <w:r w:rsidRPr="00AE0E83">
        <w:rPr>
          <w:sz w:val="22"/>
        </w:rPr>
        <w:t xml:space="preserve"> may </w:t>
      </w:r>
      <w:r>
        <w:rPr>
          <w:sz w:val="22"/>
        </w:rPr>
        <w:t xml:space="preserve">differ between </w:t>
      </w:r>
      <w:r w:rsidRPr="00AE0E83">
        <w:rPr>
          <w:sz w:val="22"/>
        </w:rPr>
        <w:t>stakeholders</w:t>
      </w:r>
      <w:r>
        <w:rPr>
          <w:sz w:val="22"/>
        </w:rPr>
        <w:t xml:space="preserve">.  For </w:t>
      </w:r>
      <w:r w:rsidRPr="00AE0E83">
        <w:rPr>
          <w:sz w:val="22"/>
        </w:rPr>
        <w:t xml:space="preserve">example, </w:t>
      </w:r>
      <w:r>
        <w:rPr>
          <w:sz w:val="22"/>
        </w:rPr>
        <w:t>patients may value</w:t>
      </w:r>
      <w:r w:rsidRPr="00AE0E83">
        <w:rPr>
          <w:sz w:val="22"/>
        </w:rPr>
        <w:t xml:space="preserve"> timely, responsive care</w:t>
      </w:r>
      <w:r>
        <w:rPr>
          <w:sz w:val="22"/>
        </w:rPr>
        <w:t xml:space="preserve">, managers may prioritise patient </w:t>
      </w:r>
      <w:r w:rsidRPr="00AE0E83">
        <w:rPr>
          <w:sz w:val="22"/>
        </w:rPr>
        <w:t xml:space="preserve">flow or </w:t>
      </w:r>
      <w:r w:rsidRPr="00C67C31">
        <w:rPr>
          <w:sz w:val="22"/>
        </w:rPr>
        <w:t>throughput</w:t>
      </w:r>
      <w:r>
        <w:rPr>
          <w:sz w:val="22"/>
        </w:rPr>
        <w:t>,</w:t>
      </w:r>
      <w:r w:rsidRPr="00C67C31">
        <w:rPr>
          <w:sz w:val="22"/>
        </w:rPr>
        <w:t xml:space="preserve"> </w:t>
      </w:r>
      <w:r>
        <w:rPr>
          <w:sz w:val="22"/>
        </w:rPr>
        <w:t xml:space="preserve">and funding providers may prefer </w:t>
      </w:r>
      <w:r w:rsidRPr="00C67C31">
        <w:rPr>
          <w:sz w:val="22"/>
        </w:rPr>
        <w:t xml:space="preserve">cost per Quality Adjusted Life Years (QALYs). The literature provides information about OA health care efficiency in various ways; primarily through economic evaluations undertaken within the context of clinical trials and the use of economic modeling methods. </w:t>
      </w:r>
    </w:p>
    <w:p w14:paraId="5C6742DF" w14:textId="77777777" w:rsidR="008054B9" w:rsidRDefault="008054B9" w:rsidP="003071E0">
      <w:pPr>
        <w:spacing w:line="480" w:lineRule="auto"/>
        <w:rPr>
          <w:sz w:val="22"/>
        </w:rPr>
      </w:pPr>
    </w:p>
    <w:p w14:paraId="007D3E7B" w14:textId="77777777" w:rsidR="008054B9" w:rsidRPr="00C67C31" w:rsidRDefault="008054B9" w:rsidP="003071E0">
      <w:pPr>
        <w:spacing w:line="480" w:lineRule="auto"/>
        <w:ind w:firstLine="720"/>
        <w:rPr>
          <w:sz w:val="22"/>
        </w:rPr>
      </w:pPr>
      <w:r>
        <w:rPr>
          <w:sz w:val="22"/>
        </w:rPr>
        <w:t xml:space="preserve">Aside from arthroplasty, </w:t>
      </w:r>
      <w:r w:rsidRPr="00C67C31">
        <w:rPr>
          <w:sz w:val="22"/>
        </w:rPr>
        <w:t xml:space="preserve">there is more limited information about </w:t>
      </w:r>
      <w:r>
        <w:rPr>
          <w:sz w:val="22"/>
        </w:rPr>
        <w:t xml:space="preserve">the </w:t>
      </w:r>
      <w:r w:rsidRPr="00C67C31">
        <w:rPr>
          <w:sz w:val="22"/>
        </w:rPr>
        <w:t>cost-effectiveness of other interventions</w:t>
      </w:r>
      <w:r>
        <w:rPr>
          <w:sz w:val="22"/>
        </w:rPr>
        <w:t xml:space="preserve"> for OA</w:t>
      </w:r>
      <w:r w:rsidRPr="00C67C31">
        <w:rPr>
          <w:sz w:val="22"/>
        </w:rPr>
        <w:t>. Indeed, a 2012 meta-analysis located only 11 RCTs or quasi-RCTs of conservative non-pharmacological interventions (exercise programs, acupuncture, rehabilitation and lifestyle interventions) for hip and knee OA reporting health care costs, of which most exhibited high risk of bias for the cost and/or treatment effects of the study.</w:t>
      </w:r>
      <w:r>
        <w:rPr>
          <w:noProof/>
          <w:sz w:val="22"/>
        </w:rPr>
        <w:t>(95)</w:t>
      </w:r>
      <w:r w:rsidRPr="00C67C31">
        <w:rPr>
          <w:sz w:val="22"/>
        </w:rPr>
        <w:t xml:space="preserve"> All studies reported cost-savings where exercise programs were evaluated, however there were conflicting results for rehabilitation programs and none of the studies evaluating lifestyle programs (including education, self-management strategies) were cost-effective when QALYs were the measure of benefit. Whilst </w:t>
      </w:r>
      <w:r>
        <w:rPr>
          <w:sz w:val="22"/>
        </w:rPr>
        <w:t>a</w:t>
      </w:r>
      <w:r w:rsidRPr="00C67C31">
        <w:rPr>
          <w:sz w:val="22"/>
        </w:rPr>
        <w:t xml:space="preserve"> single acupuncture trial demonstrated cost-effectiveness, the authors indicated that this study was associated with high risk of bias, lack of a sensitivity analysis and was limited to a 3 month time frame.</w:t>
      </w:r>
      <w:r>
        <w:rPr>
          <w:noProof/>
          <w:sz w:val="22"/>
        </w:rPr>
        <w:t>(95)</w:t>
      </w:r>
      <w:r w:rsidRPr="00C67C31">
        <w:rPr>
          <w:sz w:val="22"/>
        </w:rPr>
        <w:t xml:space="preserve"> In an Australian study, priority-setting models were used to compare </w:t>
      </w:r>
      <w:r>
        <w:rPr>
          <w:sz w:val="22"/>
        </w:rPr>
        <w:t xml:space="preserve">the </w:t>
      </w:r>
      <w:r w:rsidRPr="00C67C31">
        <w:rPr>
          <w:sz w:val="22"/>
        </w:rPr>
        <w:t>relative cost-effectiveness of different OA interventions.</w:t>
      </w:r>
      <w:r>
        <w:rPr>
          <w:noProof/>
          <w:sz w:val="22"/>
        </w:rPr>
        <w:t>(96)</w:t>
      </w:r>
      <w:r w:rsidRPr="00C67C31">
        <w:rPr>
          <w:sz w:val="22"/>
        </w:rPr>
        <w:t xml:space="preserve"> The study confirmed </w:t>
      </w:r>
      <w:r>
        <w:rPr>
          <w:sz w:val="22"/>
        </w:rPr>
        <w:t xml:space="preserve">total hip and knee arthroplasty </w:t>
      </w:r>
      <w:r w:rsidRPr="00C67C31">
        <w:rPr>
          <w:sz w:val="22"/>
        </w:rPr>
        <w:t xml:space="preserve">as </w:t>
      </w:r>
      <w:r>
        <w:rPr>
          <w:sz w:val="22"/>
        </w:rPr>
        <w:t>being</w:t>
      </w:r>
      <w:r w:rsidRPr="00C67C31">
        <w:rPr>
          <w:sz w:val="22"/>
        </w:rPr>
        <w:t xml:space="preserve"> the most cost-effective interventions for OA management.  Exercise in different settings was also cost-effective, although less so for home</w:t>
      </w:r>
      <w:r>
        <w:rPr>
          <w:sz w:val="22"/>
        </w:rPr>
        <w:t>-</w:t>
      </w:r>
      <w:r w:rsidRPr="00C67C31">
        <w:rPr>
          <w:sz w:val="22"/>
        </w:rPr>
        <w:t xml:space="preserve">based programs. Importantly, cost-effectiveness for weight loss and </w:t>
      </w:r>
      <w:r>
        <w:rPr>
          <w:sz w:val="22"/>
        </w:rPr>
        <w:t>patient</w:t>
      </w:r>
      <w:r w:rsidRPr="00C67C31">
        <w:rPr>
          <w:sz w:val="22"/>
        </w:rPr>
        <w:t xml:space="preserve"> education interventions could not be modeled due to lack of RCT data and/or inconsistencies in reported study outcomes. </w:t>
      </w:r>
    </w:p>
    <w:p w14:paraId="5FD2A383" w14:textId="77777777" w:rsidR="008054B9" w:rsidRPr="00C67C31" w:rsidRDefault="008054B9" w:rsidP="003071E0">
      <w:pPr>
        <w:spacing w:line="480" w:lineRule="auto"/>
        <w:rPr>
          <w:sz w:val="22"/>
        </w:rPr>
      </w:pPr>
      <w:r>
        <w:rPr>
          <w:sz w:val="22"/>
        </w:rPr>
        <w:tab/>
      </w:r>
    </w:p>
    <w:p w14:paraId="2ED7C696" w14:textId="77777777" w:rsidR="008054B9" w:rsidRDefault="008054B9" w:rsidP="003071E0">
      <w:pPr>
        <w:spacing w:line="480" w:lineRule="auto"/>
        <w:ind w:firstLine="720"/>
        <w:rPr>
          <w:sz w:val="22"/>
        </w:rPr>
      </w:pPr>
      <w:r w:rsidRPr="00C67C31">
        <w:rPr>
          <w:sz w:val="22"/>
        </w:rPr>
        <w:t>Andrews et al have also used economic modeling methods to estimate the cost of providing ‘optimal’ care for OA and rheumatoid arthritis (RA) based on measurement of years lived with disability (YLD).</w:t>
      </w:r>
      <w:r>
        <w:rPr>
          <w:noProof/>
          <w:sz w:val="22"/>
        </w:rPr>
        <w:t>(97)</w:t>
      </w:r>
      <w:r w:rsidRPr="00C67C31">
        <w:rPr>
          <w:sz w:val="22"/>
        </w:rPr>
        <w:t xml:space="preserve"> The health gain for OA was based on shifting from NSAIDs to simple analgesics, increasing the level of exercise activity amongst those with mild to moderate OA and </w:t>
      </w:r>
      <w:r>
        <w:rPr>
          <w:sz w:val="22"/>
        </w:rPr>
        <w:t xml:space="preserve">provision of arthroplasty to all </w:t>
      </w:r>
      <w:r w:rsidRPr="00C67C31">
        <w:rPr>
          <w:sz w:val="22"/>
        </w:rPr>
        <w:t xml:space="preserve">those with severe disease. In contrast to RA where optimal therapy entailed a 7% cost increase for </w:t>
      </w:r>
      <w:r>
        <w:rPr>
          <w:sz w:val="22"/>
        </w:rPr>
        <w:t xml:space="preserve">an </w:t>
      </w:r>
      <w:r w:rsidRPr="00C67C31">
        <w:rPr>
          <w:sz w:val="22"/>
        </w:rPr>
        <w:t xml:space="preserve">85% health gain, the benefit for OA was </w:t>
      </w:r>
      <w:r>
        <w:rPr>
          <w:sz w:val="22"/>
        </w:rPr>
        <w:t xml:space="preserve">far </w:t>
      </w:r>
      <w:r w:rsidRPr="00C67C31">
        <w:rPr>
          <w:sz w:val="22"/>
        </w:rPr>
        <w:t xml:space="preserve">less impressive with a 40% increase in funds required to gain </w:t>
      </w:r>
      <w:r>
        <w:rPr>
          <w:sz w:val="22"/>
        </w:rPr>
        <w:t xml:space="preserve">a </w:t>
      </w:r>
      <w:r w:rsidRPr="00C67C31">
        <w:rPr>
          <w:sz w:val="22"/>
        </w:rPr>
        <w:t xml:space="preserve">40% increase in health improvement. </w:t>
      </w:r>
    </w:p>
    <w:p w14:paraId="26EA404F" w14:textId="77777777" w:rsidR="008054B9" w:rsidRPr="00C67C31" w:rsidRDefault="008054B9" w:rsidP="003071E0">
      <w:pPr>
        <w:spacing w:line="480" w:lineRule="auto"/>
        <w:ind w:firstLine="720"/>
        <w:rPr>
          <w:sz w:val="22"/>
        </w:rPr>
      </w:pPr>
    </w:p>
    <w:p w14:paraId="03B1EC0C" w14:textId="77777777" w:rsidR="008054B9" w:rsidRPr="00C67C31" w:rsidRDefault="008054B9" w:rsidP="003071E0">
      <w:pPr>
        <w:spacing w:line="480" w:lineRule="auto"/>
        <w:ind w:firstLine="720"/>
        <w:rPr>
          <w:sz w:val="22"/>
        </w:rPr>
      </w:pPr>
      <w:r w:rsidRPr="00C67C31">
        <w:rPr>
          <w:sz w:val="22"/>
        </w:rPr>
        <w:t xml:space="preserve">Overall, costing studies have been limited by their frequent reliance on extrapolation from multiple data sources and questionable </w:t>
      </w:r>
      <w:r>
        <w:rPr>
          <w:sz w:val="22"/>
        </w:rPr>
        <w:t>external validity, as</w:t>
      </w:r>
      <w:r w:rsidRPr="00C67C31">
        <w:rPr>
          <w:sz w:val="22"/>
        </w:rPr>
        <w:t xml:space="preserve"> data sources and funding models may not be comparable</w:t>
      </w:r>
      <w:r>
        <w:rPr>
          <w:sz w:val="22"/>
        </w:rPr>
        <w:t xml:space="preserve"> between settings</w:t>
      </w:r>
      <w:r w:rsidRPr="00C67C31">
        <w:rPr>
          <w:sz w:val="22"/>
        </w:rPr>
        <w:t xml:space="preserve">. </w:t>
      </w:r>
      <w:r>
        <w:rPr>
          <w:sz w:val="22"/>
        </w:rPr>
        <w:t>The l</w:t>
      </w:r>
      <w:r w:rsidRPr="00C67C31">
        <w:rPr>
          <w:sz w:val="22"/>
        </w:rPr>
        <w:t xml:space="preserve">ack of robust data about cost-effectiveness for interventions other than </w:t>
      </w:r>
      <w:r>
        <w:rPr>
          <w:sz w:val="22"/>
        </w:rPr>
        <w:t>arthroplasty</w:t>
      </w:r>
      <w:r w:rsidRPr="00C67C31">
        <w:rPr>
          <w:sz w:val="22"/>
        </w:rPr>
        <w:t xml:space="preserve"> is </w:t>
      </w:r>
      <w:r>
        <w:rPr>
          <w:sz w:val="22"/>
        </w:rPr>
        <w:t xml:space="preserve">also </w:t>
      </w:r>
      <w:r w:rsidRPr="00C67C31">
        <w:rPr>
          <w:sz w:val="22"/>
        </w:rPr>
        <w:t>concerning. If there is to be advocacy for new models of OA care, for instance team</w:t>
      </w:r>
      <w:r>
        <w:rPr>
          <w:sz w:val="22"/>
        </w:rPr>
        <w:t>-</w:t>
      </w:r>
      <w:r w:rsidRPr="00C67C31">
        <w:rPr>
          <w:sz w:val="22"/>
        </w:rPr>
        <w:t>based services, there will need to be robust evaluation, including cost analyses, to support changes in policy and funding models. Whilst large scale studies, based on routine, less resource</w:t>
      </w:r>
      <w:r>
        <w:rPr>
          <w:sz w:val="22"/>
        </w:rPr>
        <w:t>-</w:t>
      </w:r>
      <w:r w:rsidRPr="00C67C31">
        <w:rPr>
          <w:sz w:val="22"/>
        </w:rPr>
        <w:t>intensive collection of administrative data collection may contribute to future costing studies, there are well documented data quality issues associated with administrative data sources</w:t>
      </w:r>
      <w:r>
        <w:rPr>
          <w:sz w:val="22"/>
        </w:rPr>
        <w:t>.</w:t>
      </w:r>
      <w:r>
        <w:rPr>
          <w:noProof/>
          <w:sz w:val="22"/>
        </w:rPr>
        <w:t>(98)</w:t>
      </w:r>
      <w:r w:rsidRPr="00C67C31">
        <w:rPr>
          <w:sz w:val="22"/>
        </w:rPr>
        <w:t xml:space="preserve"> </w:t>
      </w:r>
      <w:r>
        <w:rPr>
          <w:sz w:val="22"/>
        </w:rPr>
        <w:t>T</w:t>
      </w:r>
      <w:r w:rsidRPr="00C67C31">
        <w:rPr>
          <w:sz w:val="22"/>
        </w:rPr>
        <w:t xml:space="preserve">here is a need for data linkage between longitudinal administrative systems providing service utilization data and robust clinical data systems that provide adequate information about </w:t>
      </w:r>
      <w:r>
        <w:rPr>
          <w:sz w:val="22"/>
        </w:rPr>
        <w:t>patient</w:t>
      </w:r>
      <w:r w:rsidRPr="00C67C31">
        <w:rPr>
          <w:sz w:val="22"/>
        </w:rPr>
        <w:t xml:space="preserve"> risk and their current OA condition, as well as a need for more research pertaining to direct and indirect costs for </w:t>
      </w:r>
      <w:r>
        <w:rPr>
          <w:sz w:val="22"/>
        </w:rPr>
        <w:t>patient</w:t>
      </w:r>
      <w:r w:rsidRPr="00C67C31">
        <w:rPr>
          <w:sz w:val="22"/>
        </w:rPr>
        <w:t xml:space="preserve">s with OA. This should include cost of preventive care as well as treatment of established disease. Pinto et al. make a number of useful recommendations to improve economic analyses, including the need for more uniform reporting of outcomes, regular use of Health Related Quality of Life (HRQoL) data and use of comparators with known cost-effectiveness or usual care controls for at least 1 year. </w:t>
      </w:r>
      <w:r>
        <w:rPr>
          <w:noProof/>
          <w:sz w:val="22"/>
        </w:rPr>
        <w:t>(95)</w:t>
      </w:r>
    </w:p>
    <w:p w14:paraId="5BB93790" w14:textId="77777777" w:rsidR="008054B9" w:rsidRPr="00C67C31" w:rsidRDefault="008054B9" w:rsidP="003071E0">
      <w:pPr>
        <w:spacing w:line="480" w:lineRule="auto"/>
        <w:rPr>
          <w:sz w:val="22"/>
        </w:rPr>
      </w:pPr>
    </w:p>
    <w:p w14:paraId="6B9579C9" w14:textId="77777777" w:rsidR="008054B9" w:rsidRPr="00C67C31" w:rsidRDefault="008054B9" w:rsidP="003071E0">
      <w:pPr>
        <w:spacing w:line="480" w:lineRule="auto"/>
        <w:jc w:val="both"/>
        <w:rPr>
          <w:b/>
          <w:sz w:val="22"/>
        </w:rPr>
      </w:pPr>
      <w:r w:rsidRPr="00C67C31">
        <w:rPr>
          <w:rStyle w:val="Heading3Char"/>
          <w:sz w:val="22"/>
        </w:rPr>
        <w:t xml:space="preserve">Patient Centred Care </w:t>
      </w:r>
    </w:p>
    <w:p w14:paraId="606DF221" w14:textId="77777777" w:rsidR="008054B9" w:rsidRDefault="008054B9" w:rsidP="003071E0">
      <w:pPr>
        <w:spacing w:line="480" w:lineRule="auto"/>
        <w:ind w:firstLine="720"/>
        <w:rPr>
          <w:rFonts w:cs="Helvetica"/>
          <w:sz w:val="22"/>
          <w:szCs w:val="26"/>
        </w:rPr>
      </w:pPr>
      <w:r w:rsidRPr="00C67C31">
        <w:rPr>
          <w:rFonts w:cs="Helvetica"/>
          <w:sz w:val="22"/>
          <w:szCs w:val="26"/>
        </w:rPr>
        <w:t>There is no single definition of patient-centred care</w:t>
      </w:r>
      <w:r>
        <w:rPr>
          <w:rFonts w:cs="Helvetica"/>
          <w:sz w:val="22"/>
          <w:szCs w:val="26"/>
        </w:rPr>
        <w:t xml:space="preserve">. </w:t>
      </w:r>
      <w:r>
        <w:rPr>
          <w:rFonts w:cs="Helvetica"/>
          <w:noProof/>
          <w:sz w:val="22"/>
          <w:szCs w:val="26"/>
        </w:rPr>
        <w:t>(99)</w:t>
      </w:r>
      <w:r>
        <w:rPr>
          <w:rFonts w:cs="Helvetica"/>
          <w:sz w:val="22"/>
          <w:szCs w:val="26"/>
        </w:rPr>
        <w:t xml:space="preserve"> H</w:t>
      </w:r>
      <w:r w:rsidRPr="00C67C31">
        <w:rPr>
          <w:rFonts w:cs="Helvetica"/>
          <w:sz w:val="22"/>
          <w:szCs w:val="26"/>
        </w:rPr>
        <w:t>owever</w:t>
      </w:r>
      <w:r>
        <w:rPr>
          <w:rFonts w:cs="Helvetica"/>
          <w:sz w:val="22"/>
          <w:szCs w:val="26"/>
        </w:rPr>
        <w:t>,</w:t>
      </w:r>
      <w:r w:rsidRPr="00C67C31">
        <w:rPr>
          <w:rFonts w:cs="Helvetica"/>
          <w:sz w:val="22"/>
          <w:szCs w:val="26"/>
        </w:rPr>
        <w:t xml:space="preserve"> the In</w:t>
      </w:r>
      <w:r>
        <w:rPr>
          <w:rFonts w:cs="Helvetica"/>
          <w:sz w:val="22"/>
          <w:szCs w:val="26"/>
        </w:rPr>
        <w:t xml:space="preserve">stitute of Medicine definition </w:t>
      </w:r>
      <w:r w:rsidRPr="00C67C31">
        <w:rPr>
          <w:rFonts w:cs="Helvetica"/>
          <w:sz w:val="22"/>
          <w:szCs w:val="26"/>
        </w:rPr>
        <w:t xml:space="preserve">that has </w:t>
      </w:r>
      <w:r>
        <w:rPr>
          <w:rFonts w:cs="Helvetica"/>
          <w:sz w:val="22"/>
          <w:szCs w:val="26"/>
        </w:rPr>
        <w:t xml:space="preserve">been informed by </w:t>
      </w:r>
      <w:r w:rsidRPr="00C67C31">
        <w:rPr>
          <w:rFonts w:cs="Helvetica"/>
          <w:sz w:val="22"/>
          <w:szCs w:val="26"/>
        </w:rPr>
        <w:t>David Sackett’s description of Evidence Based Medicine</w:t>
      </w:r>
      <w:r>
        <w:rPr>
          <w:rFonts w:cs="Helvetica"/>
          <w:noProof/>
          <w:sz w:val="22"/>
          <w:szCs w:val="26"/>
        </w:rPr>
        <w:t>(100)</w:t>
      </w:r>
      <w:r>
        <w:rPr>
          <w:rFonts w:cs="Helvetica"/>
          <w:sz w:val="22"/>
          <w:szCs w:val="26"/>
        </w:rPr>
        <w:t xml:space="preserve"> is,</w:t>
      </w:r>
      <w:r w:rsidRPr="00C67C31">
        <w:rPr>
          <w:rFonts w:cs="Helvetica"/>
          <w:sz w:val="22"/>
          <w:szCs w:val="26"/>
        </w:rPr>
        <w:t xml:space="preserve"> “</w:t>
      </w:r>
      <w:r w:rsidRPr="00C67C31">
        <w:rPr>
          <w:iCs/>
          <w:sz w:val="22"/>
        </w:rPr>
        <w:t>providing</w:t>
      </w:r>
      <w:r w:rsidRPr="00C67C31">
        <w:rPr>
          <w:i/>
          <w:iCs/>
          <w:sz w:val="22"/>
        </w:rPr>
        <w:t xml:space="preserve"> </w:t>
      </w:r>
      <w:r w:rsidRPr="00C67C31">
        <w:rPr>
          <w:sz w:val="22"/>
        </w:rPr>
        <w:t>care that is respectful of and responsive to individual patient preferences, needs, and values and ensuring that patient values</w:t>
      </w:r>
      <w:r>
        <w:rPr>
          <w:sz w:val="22"/>
        </w:rPr>
        <w:t xml:space="preserve"> guide all clinical decisions”, captures a number of attributes of patient-centred care.</w:t>
      </w:r>
      <w:r>
        <w:rPr>
          <w:rFonts w:cs="Helvetica"/>
          <w:noProof/>
          <w:sz w:val="22"/>
          <w:szCs w:val="26"/>
        </w:rPr>
        <w:t>(2)</w:t>
      </w:r>
      <w:r w:rsidRPr="00C67C31">
        <w:rPr>
          <w:rFonts w:cs="Helvetica"/>
          <w:sz w:val="22"/>
          <w:szCs w:val="26"/>
        </w:rPr>
        <w:t xml:space="preserve"> In order to meet this definition, the health system needs to be oriented towards patient-centred care and </w:t>
      </w:r>
      <w:r>
        <w:rPr>
          <w:rFonts w:cs="Helvetica"/>
          <w:sz w:val="22"/>
          <w:szCs w:val="26"/>
        </w:rPr>
        <w:t xml:space="preserve">have the capacity to provide it. </w:t>
      </w:r>
      <w:r w:rsidRPr="00C67C31">
        <w:rPr>
          <w:rFonts w:cs="Helvetica"/>
          <w:sz w:val="22"/>
          <w:szCs w:val="26"/>
        </w:rPr>
        <w:t xml:space="preserve"> </w:t>
      </w:r>
    </w:p>
    <w:p w14:paraId="74EEBB38" w14:textId="77777777" w:rsidR="008054B9" w:rsidRDefault="008054B9" w:rsidP="003071E0">
      <w:pPr>
        <w:spacing w:line="480" w:lineRule="auto"/>
        <w:ind w:firstLine="720"/>
        <w:rPr>
          <w:sz w:val="22"/>
        </w:rPr>
      </w:pPr>
      <w:r w:rsidRPr="00C67C31">
        <w:rPr>
          <w:rFonts w:cs="Helvetica"/>
          <w:sz w:val="22"/>
          <w:szCs w:val="26"/>
        </w:rPr>
        <w:t xml:space="preserve">Current evidence suggests this is not </w:t>
      </w:r>
      <w:r>
        <w:rPr>
          <w:rFonts w:cs="Helvetica"/>
          <w:sz w:val="22"/>
          <w:szCs w:val="26"/>
        </w:rPr>
        <w:t xml:space="preserve">yet </w:t>
      </w:r>
      <w:r w:rsidRPr="00C67C31">
        <w:rPr>
          <w:rFonts w:cs="Helvetica"/>
          <w:sz w:val="22"/>
          <w:szCs w:val="26"/>
        </w:rPr>
        <w:t>the case</w:t>
      </w:r>
      <w:r>
        <w:rPr>
          <w:rFonts w:cs="Helvetica"/>
          <w:noProof/>
          <w:sz w:val="22"/>
          <w:szCs w:val="26"/>
        </w:rPr>
        <w:t>(101)</w:t>
      </w:r>
      <w:r>
        <w:rPr>
          <w:rFonts w:cs="Helvetica"/>
          <w:sz w:val="22"/>
          <w:szCs w:val="26"/>
        </w:rPr>
        <w:t>, and that patient experience of care (measured using a survey validated for OA that captures key elements of chronic care service experience) is lower for OA than other chronic conditions</w:t>
      </w:r>
      <w:r w:rsidRPr="00C67C31">
        <w:rPr>
          <w:rFonts w:cs="Helvetica"/>
          <w:sz w:val="22"/>
          <w:szCs w:val="26"/>
        </w:rPr>
        <w:t>.</w:t>
      </w:r>
      <w:r>
        <w:rPr>
          <w:rFonts w:cs="Helvetica"/>
          <w:noProof/>
          <w:sz w:val="22"/>
          <w:szCs w:val="26"/>
        </w:rPr>
        <w:t>(102)</w:t>
      </w:r>
      <w:r w:rsidRPr="00C67C31">
        <w:rPr>
          <w:rFonts w:cs="Helvetica"/>
          <w:sz w:val="22"/>
          <w:szCs w:val="26"/>
        </w:rPr>
        <w:t xml:space="preserve"> </w:t>
      </w:r>
      <w:r w:rsidRPr="00C67C31">
        <w:rPr>
          <w:sz w:val="22"/>
        </w:rPr>
        <w:t xml:space="preserve">Factors contributing to </w:t>
      </w:r>
      <w:r>
        <w:rPr>
          <w:sz w:val="22"/>
        </w:rPr>
        <w:t>suboptimal OA care delivery and uptake</w:t>
      </w:r>
      <w:r w:rsidRPr="00C67C31">
        <w:rPr>
          <w:sz w:val="22"/>
        </w:rPr>
        <w:t xml:space="preserve"> and potential solutions lie at all levels of the health system, even in developed countries.</w:t>
      </w:r>
      <w:r>
        <w:rPr>
          <w:noProof/>
          <w:sz w:val="22"/>
        </w:rPr>
        <w:t>(103)</w:t>
      </w:r>
      <w:r>
        <w:rPr>
          <w:sz w:val="22"/>
        </w:rPr>
        <w:t xml:space="preserve"> Q</w:t>
      </w:r>
      <w:r w:rsidRPr="00C67C31">
        <w:rPr>
          <w:sz w:val="22"/>
        </w:rPr>
        <w:t xml:space="preserve">ualitative research </w:t>
      </w:r>
      <w:r>
        <w:rPr>
          <w:sz w:val="22"/>
        </w:rPr>
        <w:t xml:space="preserve">in OA </w:t>
      </w:r>
      <w:r w:rsidRPr="00C67C31">
        <w:rPr>
          <w:sz w:val="22"/>
        </w:rPr>
        <w:t xml:space="preserve">contributes to understanding service level barriers </w:t>
      </w:r>
      <w:r>
        <w:rPr>
          <w:sz w:val="22"/>
        </w:rPr>
        <w:t xml:space="preserve">which include; </w:t>
      </w:r>
    </w:p>
    <w:p w14:paraId="05914E61" w14:textId="77777777" w:rsidR="008054B9" w:rsidRDefault="008054B9" w:rsidP="003071E0">
      <w:pPr>
        <w:numPr>
          <w:ilvl w:val="0"/>
          <w:numId w:val="28"/>
        </w:numPr>
        <w:spacing w:line="480" w:lineRule="auto"/>
        <w:rPr>
          <w:sz w:val="22"/>
        </w:rPr>
      </w:pPr>
      <w:r w:rsidRPr="00C67C31">
        <w:rPr>
          <w:sz w:val="22"/>
        </w:rPr>
        <w:t xml:space="preserve">knowledge based </w:t>
      </w:r>
      <w:r>
        <w:rPr>
          <w:sz w:val="22"/>
        </w:rPr>
        <w:t xml:space="preserve">factors </w:t>
      </w:r>
      <w:r w:rsidRPr="00C67C31">
        <w:rPr>
          <w:sz w:val="22"/>
        </w:rPr>
        <w:t>(lack of decision suppo</w:t>
      </w:r>
      <w:r>
        <w:rPr>
          <w:sz w:val="22"/>
        </w:rPr>
        <w:t xml:space="preserve">rt for health care providers and patients), </w:t>
      </w:r>
    </w:p>
    <w:p w14:paraId="32789C9B" w14:textId="77777777" w:rsidR="008054B9" w:rsidRDefault="008054B9" w:rsidP="003071E0">
      <w:pPr>
        <w:numPr>
          <w:ilvl w:val="0"/>
          <w:numId w:val="28"/>
        </w:numPr>
        <w:spacing w:line="480" w:lineRule="auto"/>
        <w:rPr>
          <w:sz w:val="22"/>
        </w:rPr>
      </w:pPr>
      <w:r w:rsidRPr="00C67C31">
        <w:rPr>
          <w:sz w:val="22"/>
        </w:rPr>
        <w:t xml:space="preserve">service based </w:t>
      </w:r>
      <w:r>
        <w:rPr>
          <w:sz w:val="22"/>
        </w:rPr>
        <w:t xml:space="preserve">factors </w:t>
      </w:r>
      <w:r w:rsidRPr="00C67C31">
        <w:rPr>
          <w:sz w:val="22"/>
        </w:rPr>
        <w:t xml:space="preserve">(service inflexibility and suboptimal responsiveness to perceived need, inadequate support for patient </w:t>
      </w:r>
      <w:r>
        <w:rPr>
          <w:sz w:val="22"/>
        </w:rPr>
        <w:t>self-management</w:t>
      </w:r>
      <w:r w:rsidRPr="00C67C31">
        <w:rPr>
          <w:sz w:val="22"/>
        </w:rPr>
        <w:t xml:space="preserve"> of their condition, lack of communication between healthcare providers and inadequate coordination of care particularly between primary and higher levels of care sectors.</w:t>
      </w:r>
      <w:r>
        <w:rPr>
          <w:noProof/>
          <w:sz w:val="22"/>
        </w:rPr>
        <w:t>(104)</w:t>
      </w:r>
      <w:r w:rsidRPr="00C67C31">
        <w:rPr>
          <w:sz w:val="22"/>
        </w:rPr>
        <w:t xml:space="preserve"> </w:t>
      </w:r>
    </w:p>
    <w:p w14:paraId="581CB715" w14:textId="77777777" w:rsidR="008054B9" w:rsidRDefault="008054B9" w:rsidP="003071E0">
      <w:pPr>
        <w:spacing w:line="480" w:lineRule="auto"/>
        <w:rPr>
          <w:sz w:val="22"/>
        </w:rPr>
      </w:pPr>
      <w:r w:rsidRPr="00C67C31">
        <w:rPr>
          <w:sz w:val="22"/>
        </w:rPr>
        <w:t>These barriers are in keeping with those reported for other chronic conditions.</w:t>
      </w:r>
      <w:r>
        <w:rPr>
          <w:noProof/>
          <w:sz w:val="22"/>
        </w:rPr>
        <w:t>(2)</w:t>
      </w:r>
    </w:p>
    <w:p w14:paraId="60A87320" w14:textId="77777777" w:rsidR="008054B9" w:rsidRDefault="008054B9" w:rsidP="003071E0">
      <w:pPr>
        <w:spacing w:line="480" w:lineRule="auto"/>
        <w:rPr>
          <w:sz w:val="22"/>
        </w:rPr>
      </w:pPr>
    </w:p>
    <w:p w14:paraId="39556BF1" w14:textId="77777777" w:rsidR="008054B9" w:rsidRPr="00C67C31" w:rsidRDefault="008054B9" w:rsidP="003071E0">
      <w:pPr>
        <w:spacing w:line="480" w:lineRule="auto"/>
        <w:rPr>
          <w:sz w:val="22"/>
        </w:rPr>
      </w:pPr>
    </w:p>
    <w:p w14:paraId="1D1AC3CF" w14:textId="77777777" w:rsidR="008054B9" w:rsidRDefault="008054B9" w:rsidP="003071E0">
      <w:pPr>
        <w:spacing w:line="480" w:lineRule="auto"/>
        <w:ind w:firstLine="720"/>
        <w:rPr>
          <w:sz w:val="22"/>
        </w:rPr>
      </w:pPr>
      <w:r w:rsidRPr="00C67C31">
        <w:rPr>
          <w:sz w:val="22"/>
        </w:rPr>
        <w:t xml:space="preserve">A number of chronic disease management models have emerged to improve </w:t>
      </w:r>
      <w:r>
        <w:rPr>
          <w:sz w:val="22"/>
        </w:rPr>
        <w:t xml:space="preserve">chronic </w:t>
      </w:r>
      <w:r w:rsidRPr="00C67C31">
        <w:rPr>
          <w:sz w:val="22"/>
        </w:rPr>
        <w:t xml:space="preserve">care </w:t>
      </w:r>
      <w:r>
        <w:rPr>
          <w:sz w:val="22"/>
        </w:rPr>
        <w:t>and these have been demonstrated to be effective for some conditions.</w:t>
      </w:r>
      <w:r>
        <w:rPr>
          <w:noProof/>
          <w:sz w:val="22"/>
        </w:rPr>
        <w:t>(105)</w:t>
      </w:r>
      <w:r>
        <w:rPr>
          <w:sz w:val="22"/>
        </w:rPr>
        <w:t xml:space="preserve"> The various models differ</w:t>
      </w:r>
      <w:r w:rsidRPr="00C67C31">
        <w:rPr>
          <w:sz w:val="22"/>
        </w:rPr>
        <w:t xml:space="preserve"> according to the primary purpose for which they are designed; for instance, primary care models which focus on people managing with OA in the community</w:t>
      </w:r>
      <w:r>
        <w:rPr>
          <w:noProof/>
          <w:sz w:val="22"/>
        </w:rPr>
        <w:t>(106, 107)</w:t>
      </w:r>
      <w:r>
        <w:rPr>
          <w:sz w:val="22"/>
        </w:rPr>
        <w:t xml:space="preserve"> specialist</w:t>
      </w:r>
      <w:r w:rsidRPr="00C67C31">
        <w:rPr>
          <w:sz w:val="22"/>
        </w:rPr>
        <w:t xml:space="preserve"> care models designed to </w:t>
      </w:r>
      <w:r>
        <w:rPr>
          <w:sz w:val="22"/>
        </w:rPr>
        <w:t>ensure optimal conservative therapy has been undertaken before facilitating</w:t>
      </w:r>
      <w:r w:rsidRPr="00C67C31">
        <w:rPr>
          <w:sz w:val="22"/>
        </w:rPr>
        <w:t xml:space="preserve"> timely access to </w:t>
      </w:r>
      <w:r>
        <w:rPr>
          <w:sz w:val="22"/>
        </w:rPr>
        <w:t>arthroplasty for those who can most benefit</w:t>
      </w:r>
      <w:r w:rsidRPr="00C67C31">
        <w:rPr>
          <w:sz w:val="22"/>
        </w:rPr>
        <w:t>.</w:t>
      </w:r>
      <w:r>
        <w:rPr>
          <w:noProof/>
          <w:sz w:val="22"/>
        </w:rPr>
        <w:t>(108, 109)</w:t>
      </w:r>
      <w:r>
        <w:rPr>
          <w:sz w:val="22"/>
        </w:rPr>
        <w:t xml:space="preserve"> However, most chronic disease models include similar key components (table 4), </w:t>
      </w:r>
      <w:r w:rsidRPr="00B23CD5">
        <w:rPr>
          <w:sz w:val="22"/>
        </w:rPr>
        <w:t>including;</w:t>
      </w:r>
      <w:r>
        <w:rPr>
          <w:sz w:val="22"/>
        </w:rPr>
        <w:t xml:space="preserve"> use of </w:t>
      </w:r>
      <w:r w:rsidRPr="00C67C31">
        <w:rPr>
          <w:sz w:val="22"/>
        </w:rPr>
        <w:t xml:space="preserve">clinical information </w:t>
      </w:r>
      <w:r>
        <w:rPr>
          <w:sz w:val="22"/>
        </w:rPr>
        <w:t>systems and</w:t>
      </w:r>
      <w:r w:rsidRPr="00C67C31">
        <w:rPr>
          <w:sz w:val="22"/>
        </w:rPr>
        <w:t xml:space="preserve"> decision support, </w:t>
      </w:r>
      <w:r>
        <w:rPr>
          <w:sz w:val="22"/>
        </w:rPr>
        <w:t>service delivery re-design e.g. team based care</w:t>
      </w:r>
      <w:r w:rsidRPr="00C67C31">
        <w:rPr>
          <w:sz w:val="22"/>
        </w:rPr>
        <w:t xml:space="preserve">, </w:t>
      </w:r>
      <w:r>
        <w:rPr>
          <w:sz w:val="22"/>
        </w:rPr>
        <w:t>a focus on linkages across community health care provider and patient groups and between different levels of health care and a focus on patient self-management support.</w:t>
      </w:r>
      <w:r>
        <w:rPr>
          <w:noProof/>
          <w:sz w:val="22"/>
        </w:rPr>
        <w:t>(2, 106, 107)</w:t>
      </w:r>
      <w:r>
        <w:rPr>
          <w:sz w:val="22"/>
        </w:rPr>
        <w:t xml:space="preserve"> An important extension of the primary care model over time has been to focus more strongly on preventive care (Table 4).</w:t>
      </w:r>
      <w:r>
        <w:rPr>
          <w:noProof/>
          <w:sz w:val="22"/>
        </w:rPr>
        <w:t>(110-112)</w:t>
      </w:r>
      <w:r>
        <w:rPr>
          <w:sz w:val="22"/>
        </w:rPr>
        <w:t xml:space="preserve"> </w:t>
      </w:r>
    </w:p>
    <w:p w14:paraId="26D6AC13" w14:textId="77777777" w:rsidR="008054B9" w:rsidRDefault="008054B9" w:rsidP="003071E0">
      <w:pPr>
        <w:spacing w:line="480" w:lineRule="auto"/>
        <w:ind w:firstLine="720"/>
        <w:rPr>
          <w:sz w:val="22"/>
        </w:rPr>
      </w:pPr>
      <w:r>
        <w:rPr>
          <w:sz w:val="22"/>
        </w:rPr>
        <w:t>In</w:t>
      </w:r>
      <w:r w:rsidRPr="00C67C31">
        <w:rPr>
          <w:sz w:val="22"/>
        </w:rPr>
        <w:t xml:space="preserve"> contrast to other chronic conditions</w:t>
      </w:r>
      <w:r>
        <w:rPr>
          <w:sz w:val="22"/>
        </w:rPr>
        <w:t>,</w:t>
      </w:r>
      <w:r w:rsidRPr="00C67C31">
        <w:rPr>
          <w:sz w:val="22"/>
        </w:rPr>
        <w:t xml:space="preserve"> </w:t>
      </w:r>
      <w:r>
        <w:rPr>
          <w:sz w:val="22"/>
        </w:rPr>
        <w:t>there is a lack of supportive evidence of effectiveness for OA chronic care models and to date the OA primary care models have largely focused on patient self-management components.</w:t>
      </w:r>
      <w:r>
        <w:rPr>
          <w:noProof/>
          <w:sz w:val="22"/>
        </w:rPr>
        <w:t>(113)</w:t>
      </w:r>
      <w:r>
        <w:rPr>
          <w:sz w:val="22"/>
        </w:rPr>
        <w:t xml:space="preserve"> Single component models can be effective</w:t>
      </w:r>
      <w:r>
        <w:rPr>
          <w:noProof/>
          <w:sz w:val="22"/>
        </w:rPr>
        <w:t>(105)</w:t>
      </w:r>
      <w:r>
        <w:rPr>
          <w:sz w:val="22"/>
        </w:rPr>
        <w:t xml:space="preserve"> and there is</w:t>
      </w:r>
      <w:r w:rsidRPr="00C67C31">
        <w:rPr>
          <w:sz w:val="22"/>
        </w:rPr>
        <w:t xml:space="preserve"> evidence </w:t>
      </w:r>
      <w:r>
        <w:rPr>
          <w:sz w:val="22"/>
        </w:rPr>
        <w:t>that patient arthritis self-</w:t>
      </w:r>
      <w:r w:rsidRPr="00C67C31">
        <w:rPr>
          <w:sz w:val="22"/>
        </w:rPr>
        <w:t xml:space="preserve">management programs are </w:t>
      </w:r>
      <w:r>
        <w:rPr>
          <w:sz w:val="22"/>
        </w:rPr>
        <w:t xml:space="preserve">associated with </w:t>
      </w:r>
      <w:r w:rsidRPr="00C67C31">
        <w:rPr>
          <w:sz w:val="22"/>
        </w:rPr>
        <w:t>modest benefits for improved psychological health status, self-efficacy, and some health behaviours lasting for up to 12 months</w:t>
      </w:r>
      <w:r>
        <w:rPr>
          <w:sz w:val="22"/>
        </w:rPr>
        <w:t xml:space="preserve">. </w:t>
      </w:r>
      <w:r>
        <w:rPr>
          <w:noProof/>
          <w:sz w:val="22"/>
        </w:rPr>
        <w:t>(114)</w:t>
      </w:r>
      <w:r w:rsidRPr="00C67C31">
        <w:rPr>
          <w:sz w:val="22"/>
        </w:rPr>
        <w:t xml:space="preserve"> </w:t>
      </w:r>
      <w:r>
        <w:rPr>
          <w:sz w:val="22"/>
        </w:rPr>
        <w:t>Whilst small trial-based benefits could potentially translate to much larger population benefit</w:t>
      </w:r>
      <w:r w:rsidRPr="00C67C31">
        <w:rPr>
          <w:sz w:val="22"/>
        </w:rPr>
        <w:t>, there is currently a lack of supportive cost-effectiveness data</w:t>
      </w:r>
      <w:r>
        <w:rPr>
          <w:sz w:val="22"/>
        </w:rPr>
        <w:t xml:space="preserve"> for education and self-management in isolation from exercise</w:t>
      </w:r>
      <w:r w:rsidRPr="00C67C31">
        <w:rPr>
          <w:sz w:val="22"/>
        </w:rPr>
        <w:t>.</w:t>
      </w:r>
      <w:r>
        <w:rPr>
          <w:noProof/>
          <w:sz w:val="22"/>
        </w:rPr>
        <w:t>(95)</w:t>
      </w:r>
      <w:r w:rsidRPr="00C67C31">
        <w:rPr>
          <w:sz w:val="22"/>
        </w:rPr>
        <w:t xml:space="preserve"> </w:t>
      </w:r>
    </w:p>
    <w:p w14:paraId="14942082" w14:textId="77777777" w:rsidR="008054B9" w:rsidRPr="00C67C31" w:rsidRDefault="008054B9" w:rsidP="003071E0">
      <w:pPr>
        <w:spacing w:line="480" w:lineRule="auto"/>
        <w:rPr>
          <w:sz w:val="22"/>
        </w:rPr>
      </w:pPr>
    </w:p>
    <w:p w14:paraId="11AFD945" w14:textId="77777777" w:rsidR="008054B9" w:rsidRPr="00C67C31" w:rsidRDefault="008054B9" w:rsidP="003071E0">
      <w:pPr>
        <w:spacing w:line="480" w:lineRule="auto"/>
        <w:ind w:firstLine="720"/>
        <w:rPr>
          <w:sz w:val="22"/>
        </w:rPr>
      </w:pPr>
      <w:r w:rsidRPr="00C67C31">
        <w:rPr>
          <w:sz w:val="22"/>
        </w:rPr>
        <w:t>Newer team</w:t>
      </w:r>
      <w:r>
        <w:rPr>
          <w:sz w:val="22"/>
        </w:rPr>
        <w:t>-</w:t>
      </w:r>
      <w:r w:rsidRPr="00C67C31">
        <w:rPr>
          <w:sz w:val="22"/>
        </w:rPr>
        <w:t xml:space="preserve">based </w:t>
      </w:r>
      <w:r>
        <w:rPr>
          <w:sz w:val="22"/>
        </w:rPr>
        <w:t xml:space="preserve">OA </w:t>
      </w:r>
      <w:r w:rsidRPr="00C67C31">
        <w:rPr>
          <w:sz w:val="22"/>
        </w:rPr>
        <w:t>service models, in which expanded roles have been designed for nurses and allied health professionals, are emerging. There have been mixed outcomes reported for nurse</w:t>
      </w:r>
      <w:r>
        <w:rPr>
          <w:sz w:val="22"/>
        </w:rPr>
        <w:t>-</w:t>
      </w:r>
      <w:r w:rsidRPr="00C67C31">
        <w:rPr>
          <w:sz w:val="22"/>
        </w:rPr>
        <w:t xml:space="preserve">led models which focus on education and </w:t>
      </w:r>
      <w:r>
        <w:rPr>
          <w:sz w:val="22"/>
        </w:rPr>
        <w:t>self-management</w:t>
      </w:r>
      <w:r w:rsidRPr="00C67C31">
        <w:rPr>
          <w:sz w:val="22"/>
        </w:rPr>
        <w:t xml:space="preserve">, with one RCT reporting positive </w:t>
      </w:r>
      <w:r>
        <w:rPr>
          <w:sz w:val="22"/>
        </w:rPr>
        <w:t>improvements in</w:t>
      </w:r>
      <w:r w:rsidRPr="00C67C31">
        <w:rPr>
          <w:sz w:val="22"/>
        </w:rPr>
        <w:t xml:space="preserve"> patient knowledge and satisfaction and lack of inferiority for other health outcomes</w:t>
      </w:r>
      <w:r>
        <w:rPr>
          <w:sz w:val="22"/>
        </w:rPr>
        <w:t>,</w:t>
      </w:r>
      <w:r w:rsidRPr="00C67C31">
        <w:rPr>
          <w:sz w:val="22"/>
        </w:rPr>
        <w:t xml:space="preserve"> compared to </w:t>
      </w:r>
      <w:r>
        <w:rPr>
          <w:sz w:val="22"/>
        </w:rPr>
        <w:t xml:space="preserve">consultation with </w:t>
      </w:r>
      <w:r w:rsidRPr="00C67C31">
        <w:rPr>
          <w:sz w:val="22"/>
        </w:rPr>
        <w:t>a junior doctor in a hospital clinic.</w:t>
      </w:r>
      <w:r>
        <w:rPr>
          <w:noProof/>
          <w:sz w:val="22"/>
        </w:rPr>
        <w:t>(115)</w:t>
      </w:r>
      <w:r w:rsidRPr="00C67C31">
        <w:rPr>
          <w:sz w:val="22"/>
        </w:rPr>
        <w:t xml:space="preserve"> In contrast, there was no demonstrable benefit for two community</w:t>
      </w:r>
      <w:r>
        <w:rPr>
          <w:sz w:val="22"/>
        </w:rPr>
        <w:t>-</w:t>
      </w:r>
      <w:r w:rsidRPr="00C67C31">
        <w:rPr>
          <w:sz w:val="22"/>
        </w:rPr>
        <w:t xml:space="preserve">based nurse RCT studies. </w:t>
      </w:r>
      <w:r>
        <w:rPr>
          <w:noProof/>
          <w:sz w:val="22"/>
        </w:rPr>
        <w:t>(116, 117)</w:t>
      </w:r>
      <w:r w:rsidRPr="00C67C31">
        <w:rPr>
          <w:rFonts w:cs="Helvetica"/>
          <w:sz w:val="22"/>
          <w:szCs w:val="26"/>
        </w:rPr>
        <w:t xml:space="preserve">  A pilot RCT for a physiotherapist </w:t>
      </w:r>
      <w:r>
        <w:rPr>
          <w:rFonts w:cs="Helvetica"/>
          <w:sz w:val="22"/>
          <w:szCs w:val="26"/>
        </w:rPr>
        <w:t>-</w:t>
      </w:r>
      <w:r w:rsidRPr="00C67C31">
        <w:rPr>
          <w:rFonts w:cs="Helvetica"/>
          <w:sz w:val="22"/>
          <w:szCs w:val="26"/>
        </w:rPr>
        <w:t>deliver</w:t>
      </w:r>
      <w:r>
        <w:rPr>
          <w:rFonts w:cs="Helvetica"/>
          <w:sz w:val="22"/>
          <w:szCs w:val="26"/>
        </w:rPr>
        <w:t>ed</w:t>
      </w:r>
      <w:r w:rsidRPr="00C67C31">
        <w:rPr>
          <w:rFonts w:cs="Helvetica"/>
          <w:sz w:val="22"/>
          <w:szCs w:val="26"/>
        </w:rPr>
        <w:t xml:space="preserve"> exercise program and pain coping skills training provided benefit compared to exercise alone</w:t>
      </w:r>
      <w:r>
        <w:rPr>
          <w:rFonts w:cs="Helvetica"/>
          <w:noProof/>
          <w:sz w:val="22"/>
          <w:szCs w:val="26"/>
        </w:rPr>
        <w:t>(118)</w:t>
      </w:r>
      <w:r w:rsidRPr="00C67C31">
        <w:rPr>
          <w:rFonts w:cs="Helvetica"/>
          <w:sz w:val="22"/>
          <w:szCs w:val="26"/>
        </w:rPr>
        <w:t xml:space="preserve"> and a </w:t>
      </w:r>
      <w:r>
        <w:rPr>
          <w:rFonts w:cs="Helvetica"/>
          <w:sz w:val="22"/>
          <w:szCs w:val="26"/>
        </w:rPr>
        <w:t xml:space="preserve">more </w:t>
      </w:r>
      <w:r w:rsidRPr="00C67C31">
        <w:rPr>
          <w:rFonts w:cs="Helvetica"/>
          <w:sz w:val="22"/>
          <w:szCs w:val="26"/>
        </w:rPr>
        <w:t xml:space="preserve">definitive </w:t>
      </w:r>
      <w:r>
        <w:rPr>
          <w:rFonts w:cs="Helvetica"/>
          <w:sz w:val="22"/>
          <w:szCs w:val="26"/>
        </w:rPr>
        <w:t xml:space="preserve">RCT </w:t>
      </w:r>
      <w:r w:rsidRPr="00C67C31">
        <w:rPr>
          <w:rFonts w:cs="Helvetica"/>
          <w:sz w:val="22"/>
          <w:szCs w:val="26"/>
        </w:rPr>
        <w:t>study is now being undertaken.</w:t>
      </w:r>
      <w:r>
        <w:rPr>
          <w:noProof/>
          <w:sz w:val="22"/>
        </w:rPr>
        <w:t>(119)</w:t>
      </w:r>
    </w:p>
    <w:p w14:paraId="222EEED4" w14:textId="77777777" w:rsidR="008054B9" w:rsidRPr="00C67C31" w:rsidRDefault="008054B9" w:rsidP="003071E0">
      <w:pPr>
        <w:spacing w:line="480" w:lineRule="auto"/>
        <w:rPr>
          <w:rFonts w:cs="Helvetica"/>
          <w:sz w:val="22"/>
          <w:szCs w:val="26"/>
        </w:rPr>
      </w:pPr>
    </w:p>
    <w:p w14:paraId="7D8D0EC8" w14:textId="77777777" w:rsidR="008054B9" w:rsidRPr="00C67C31" w:rsidRDefault="008054B9" w:rsidP="003071E0">
      <w:pPr>
        <w:spacing w:line="480" w:lineRule="auto"/>
        <w:ind w:firstLine="720"/>
        <w:rPr>
          <w:sz w:val="22"/>
        </w:rPr>
      </w:pPr>
      <w:r w:rsidRPr="00C67C31">
        <w:rPr>
          <w:rFonts w:cs="Helvetica"/>
          <w:sz w:val="22"/>
          <w:szCs w:val="26"/>
        </w:rPr>
        <w:t xml:space="preserve">Whilst it is important to explore expanded </w:t>
      </w:r>
      <w:r>
        <w:rPr>
          <w:rFonts w:cs="Helvetica"/>
          <w:sz w:val="22"/>
          <w:szCs w:val="26"/>
        </w:rPr>
        <w:t xml:space="preserve">clinician </w:t>
      </w:r>
      <w:r w:rsidRPr="00C67C31">
        <w:rPr>
          <w:rFonts w:cs="Helvetica"/>
          <w:sz w:val="22"/>
          <w:szCs w:val="26"/>
        </w:rPr>
        <w:t xml:space="preserve">roles and </w:t>
      </w:r>
      <w:r>
        <w:rPr>
          <w:rFonts w:cs="Helvetica"/>
          <w:sz w:val="22"/>
          <w:szCs w:val="26"/>
        </w:rPr>
        <w:t>the way in which</w:t>
      </w:r>
      <w:r w:rsidRPr="00C67C31">
        <w:rPr>
          <w:rFonts w:cs="Helvetica"/>
          <w:sz w:val="22"/>
          <w:szCs w:val="26"/>
        </w:rPr>
        <w:t xml:space="preserve"> team</w:t>
      </w:r>
      <w:r>
        <w:rPr>
          <w:rFonts w:cs="Helvetica"/>
          <w:sz w:val="22"/>
          <w:szCs w:val="26"/>
        </w:rPr>
        <w:t>-</w:t>
      </w:r>
      <w:r w:rsidRPr="00C67C31">
        <w:rPr>
          <w:rFonts w:cs="Helvetica"/>
          <w:sz w:val="22"/>
          <w:szCs w:val="26"/>
        </w:rPr>
        <w:t xml:space="preserve">based care can contribute to improved OA outcomes, we need to bear in mind the </w:t>
      </w:r>
      <w:r>
        <w:rPr>
          <w:rFonts w:cs="Helvetica"/>
          <w:sz w:val="22"/>
          <w:szCs w:val="26"/>
        </w:rPr>
        <w:t>size of the</w:t>
      </w:r>
      <w:r w:rsidRPr="00C67C31">
        <w:rPr>
          <w:rFonts w:cs="Helvetica"/>
          <w:sz w:val="22"/>
          <w:szCs w:val="26"/>
        </w:rPr>
        <w:t xml:space="preserve"> existing unmet need and future need in designing service delivery systems.  It is unlikely, given the shortage of all health care providers</w:t>
      </w:r>
      <w:r>
        <w:rPr>
          <w:rFonts w:cs="Helvetica"/>
          <w:sz w:val="22"/>
          <w:szCs w:val="26"/>
        </w:rPr>
        <w:t xml:space="preserve">, </w:t>
      </w:r>
      <w:r w:rsidRPr="00C67C31">
        <w:rPr>
          <w:rFonts w:cs="Helvetica"/>
          <w:sz w:val="22"/>
          <w:szCs w:val="26"/>
        </w:rPr>
        <w:t>increasing burden of OA</w:t>
      </w:r>
      <w:r>
        <w:rPr>
          <w:rFonts w:cs="Helvetica"/>
          <w:sz w:val="22"/>
          <w:szCs w:val="26"/>
        </w:rPr>
        <w:t xml:space="preserve"> and data from economic modeling studies</w:t>
      </w:r>
      <w:r>
        <w:rPr>
          <w:rFonts w:cs="Helvetica"/>
          <w:noProof/>
          <w:sz w:val="22"/>
          <w:szCs w:val="26"/>
        </w:rPr>
        <w:t>(97)</w:t>
      </w:r>
      <w:r w:rsidRPr="00C67C31">
        <w:rPr>
          <w:rFonts w:cs="Helvetica"/>
          <w:sz w:val="22"/>
          <w:szCs w:val="26"/>
        </w:rPr>
        <w:t>, that models reliant on sustained input from medical or other health care providers will be cost-effective</w:t>
      </w:r>
      <w:r>
        <w:rPr>
          <w:rFonts w:cs="Helvetica"/>
          <w:sz w:val="22"/>
          <w:szCs w:val="26"/>
        </w:rPr>
        <w:t xml:space="preserve"> for those with mild to moderate OA or those at risk of developing OA</w:t>
      </w:r>
      <w:r w:rsidRPr="00C67C31">
        <w:rPr>
          <w:rFonts w:cs="Helvetica"/>
          <w:sz w:val="22"/>
          <w:szCs w:val="26"/>
        </w:rPr>
        <w:t xml:space="preserve">. </w:t>
      </w:r>
      <w:r>
        <w:rPr>
          <w:rFonts w:cs="Helvetica"/>
          <w:sz w:val="22"/>
          <w:szCs w:val="26"/>
        </w:rPr>
        <w:t>As a community</w:t>
      </w:r>
      <w:r w:rsidRPr="00C67C31">
        <w:rPr>
          <w:rFonts w:cs="Helvetica"/>
          <w:sz w:val="22"/>
          <w:szCs w:val="26"/>
        </w:rPr>
        <w:t xml:space="preserve"> we </w:t>
      </w:r>
      <w:r>
        <w:rPr>
          <w:rFonts w:cs="Helvetica"/>
          <w:sz w:val="22"/>
          <w:szCs w:val="26"/>
        </w:rPr>
        <w:t xml:space="preserve">will require </w:t>
      </w:r>
      <w:r w:rsidRPr="00C67C31">
        <w:rPr>
          <w:rFonts w:cs="Helvetica"/>
          <w:sz w:val="22"/>
          <w:szCs w:val="26"/>
        </w:rPr>
        <w:t xml:space="preserve">innovative, low cost methods of </w:t>
      </w:r>
      <w:r>
        <w:rPr>
          <w:rFonts w:cs="Helvetica"/>
          <w:sz w:val="22"/>
          <w:szCs w:val="26"/>
        </w:rPr>
        <w:t>disseminating and supporting primary and secondary preventive strategies targeted towards lifestyle behaviour change, for instance use of social media</w:t>
      </w:r>
      <w:r w:rsidRPr="00C67C31">
        <w:rPr>
          <w:rFonts w:cs="Helvetica"/>
          <w:sz w:val="22"/>
          <w:szCs w:val="26"/>
        </w:rPr>
        <w:t>.</w:t>
      </w:r>
      <w:r>
        <w:rPr>
          <w:rFonts w:cs="Helvetica"/>
          <w:noProof/>
          <w:sz w:val="22"/>
          <w:szCs w:val="26"/>
        </w:rPr>
        <w:t>(120)</w:t>
      </w:r>
      <w:r w:rsidRPr="00C67C31">
        <w:rPr>
          <w:rFonts w:cs="Helvetica"/>
          <w:sz w:val="22"/>
          <w:szCs w:val="26"/>
        </w:rPr>
        <w:t xml:space="preserve"> </w:t>
      </w:r>
      <w:r>
        <w:rPr>
          <w:rFonts w:cs="Helvetica"/>
          <w:sz w:val="22"/>
          <w:szCs w:val="26"/>
        </w:rPr>
        <w:t>F</w:t>
      </w:r>
      <w:r w:rsidRPr="00C67C31">
        <w:rPr>
          <w:rFonts w:cs="Helvetica"/>
          <w:sz w:val="22"/>
          <w:szCs w:val="26"/>
        </w:rPr>
        <w:t>ive social processes have been reported to affect health behaviours and outcomes; social influence, social engagement and attachment, social recommendations, soci</w:t>
      </w:r>
      <w:r>
        <w:rPr>
          <w:rFonts w:cs="Helvetica"/>
          <w:sz w:val="22"/>
          <w:szCs w:val="26"/>
        </w:rPr>
        <w:t xml:space="preserve">al contagion and social support. Such methods have been reported to demonstrate benefit, for instance for regular prompting to support self-monitoring behaviours. </w:t>
      </w:r>
      <w:r>
        <w:rPr>
          <w:rFonts w:cs="Helvetica"/>
          <w:noProof/>
          <w:sz w:val="22"/>
          <w:szCs w:val="26"/>
        </w:rPr>
        <w:t>(121)</w:t>
      </w:r>
      <w:r>
        <w:rPr>
          <w:rFonts w:cs="Helvetica"/>
          <w:sz w:val="22"/>
          <w:szCs w:val="26"/>
        </w:rPr>
        <w:t xml:space="preserve"> T</w:t>
      </w:r>
      <w:r w:rsidRPr="00C67C31">
        <w:rPr>
          <w:rFonts w:cs="Helvetica"/>
          <w:sz w:val="22"/>
          <w:szCs w:val="26"/>
        </w:rPr>
        <w:t xml:space="preserve">hese </w:t>
      </w:r>
      <w:r>
        <w:rPr>
          <w:rFonts w:cs="Helvetica"/>
          <w:sz w:val="22"/>
          <w:szCs w:val="26"/>
        </w:rPr>
        <w:t>options</w:t>
      </w:r>
      <w:r w:rsidRPr="00C67C31">
        <w:rPr>
          <w:rFonts w:cs="Helvetica"/>
          <w:sz w:val="22"/>
          <w:szCs w:val="26"/>
        </w:rPr>
        <w:t xml:space="preserve"> have yet to be explored </w:t>
      </w:r>
      <w:r>
        <w:rPr>
          <w:rFonts w:cs="Helvetica"/>
          <w:sz w:val="22"/>
          <w:szCs w:val="26"/>
        </w:rPr>
        <w:t>adequately for their utility in providing meaningful support for OA self-management. Special attention will need to be paid to designing OA models to meet the needs of those with low levels of health literacy.</w:t>
      </w:r>
      <w:r>
        <w:rPr>
          <w:rFonts w:cs="Helvetica"/>
          <w:noProof/>
          <w:sz w:val="22"/>
          <w:szCs w:val="26"/>
        </w:rPr>
        <w:t>(110)</w:t>
      </w:r>
      <w:r>
        <w:rPr>
          <w:rFonts w:cs="Helvetica"/>
          <w:sz w:val="22"/>
          <w:szCs w:val="26"/>
        </w:rPr>
        <w:t xml:space="preserve"> </w:t>
      </w:r>
    </w:p>
    <w:p w14:paraId="277D11B5" w14:textId="77777777" w:rsidR="008054B9" w:rsidRPr="00C67C31" w:rsidRDefault="008054B9" w:rsidP="003071E0">
      <w:pPr>
        <w:spacing w:line="480" w:lineRule="auto"/>
        <w:rPr>
          <w:sz w:val="22"/>
        </w:rPr>
      </w:pPr>
    </w:p>
    <w:p w14:paraId="041D1AC2" w14:textId="77777777" w:rsidR="008054B9" w:rsidRPr="00C67C31" w:rsidRDefault="008054B9" w:rsidP="003071E0">
      <w:pPr>
        <w:spacing w:line="480" w:lineRule="auto"/>
        <w:rPr>
          <w:b/>
          <w:sz w:val="22"/>
        </w:rPr>
      </w:pPr>
      <w:r w:rsidRPr="00C67C31">
        <w:rPr>
          <w:b/>
          <w:sz w:val="22"/>
        </w:rPr>
        <w:t>Summary</w:t>
      </w:r>
    </w:p>
    <w:p w14:paraId="6B983B52" w14:textId="77777777" w:rsidR="008054B9" w:rsidRPr="00C67C31" w:rsidRDefault="008054B9" w:rsidP="003071E0">
      <w:pPr>
        <w:spacing w:line="480" w:lineRule="auto"/>
        <w:ind w:firstLine="720"/>
        <w:rPr>
          <w:rStyle w:val="Heading3Char"/>
        </w:rPr>
      </w:pPr>
      <w:r w:rsidRPr="00C67C31">
        <w:rPr>
          <w:rStyle w:val="Heading3Char"/>
          <w:b w:val="0"/>
          <w:sz w:val="22"/>
        </w:rPr>
        <w:t xml:space="preserve">We have presented an overview of many issues </w:t>
      </w:r>
      <w:r>
        <w:rPr>
          <w:rStyle w:val="Heading3Char"/>
          <w:b w:val="0"/>
          <w:sz w:val="22"/>
        </w:rPr>
        <w:t xml:space="preserve">currently </w:t>
      </w:r>
      <w:r w:rsidRPr="00C67C31">
        <w:rPr>
          <w:rStyle w:val="Heading3Char"/>
          <w:b w:val="0"/>
          <w:sz w:val="22"/>
        </w:rPr>
        <w:t xml:space="preserve">facing </w:t>
      </w:r>
      <w:r>
        <w:rPr>
          <w:rStyle w:val="Heading3Char"/>
          <w:b w:val="0"/>
          <w:sz w:val="22"/>
        </w:rPr>
        <w:t>patient</w:t>
      </w:r>
      <w:r w:rsidRPr="00C67C31">
        <w:rPr>
          <w:rStyle w:val="Heading3Char"/>
          <w:b w:val="0"/>
          <w:sz w:val="22"/>
        </w:rPr>
        <w:t xml:space="preserve">s, health care providers, funding providers and policy makers who are working to improve OA health outcomes. In doing so we have suggested </w:t>
      </w:r>
      <w:r>
        <w:rPr>
          <w:rStyle w:val="Heading3Char"/>
          <w:b w:val="0"/>
          <w:sz w:val="22"/>
        </w:rPr>
        <w:t xml:space="preserve">that </w:t>
      </w:r>
      <w:r w:rsidRPr="00C67C31">
        <w:rPr>
          <w:rStyle w:val="Heading3Char"/>
          <w:b w:val="0"/>
          <w:sz w:val="22"/>
        </w:rPr>
        <w:t xml:space="preserve">a broad approach </w:t>
      </w:r>
      <w:r>
        <w:rPr>
          <w:rStyle w:val="Heading3Char"/>
          <w:b w:val="0"/>
          <w:sz w:val="22"/>
        </w:rPr>
        <w:t>that</w:t>
      </w:r>
      <w:r w:rsidRPr="00C67C31">
        <w:rPr>
          <w:rStyle w:val="Heading3Char"/>
          <w:b w:val="0"/>
          <w:sz w:val="22"/>
        </w:rPr>
        <w:t xml:space="preserve"> considers individual </w:t>
      </w:r>
      <w:r w:rsidRPr="00177DFD">
        <w:rPr>
          <w:rStyle w:val="Heading3Char"/>
          <w:b w:val="0"/>
          <w:i/>
          <w:sz w:val="22"/>
        </w:rPr>
        <w:t>and</w:t>
      </w:r>
      <w:r w:rsidRPr="00C67C31">
        <w:rPr>
          <w:rStyle w:val="Heading3Char"/>
          <w:b w:val="0"/>
          <w:sz w:val="22"/>
        </w:rPr>
        <w:t xml:space="preserve"> system quality of care outcomes, is a useful way to identify future research and improvement opportunities.  </w:t>
      </w:r>
    </w:p>
    <w:p w14:paraId="4A28B77E" w14:textId="77777777" w:rsidR="008054B9" w:rsidRPr="00C67C31" w:rsidRDefault="008054B9" w:rsidP="003071E0">
      <w:pPr>
        <w:spacing w:line="480" w:lineRule="auto"/>
        <w:ind w:firstLine="720"/>
        <w:rPr>
          <w:rStyle w:val="Heading3Char"/>
        </w:rPr>
      </w:pPr>
      <w:r w:rsidRPr="00C67C31">
        <w:rPr>
          <w:rStyle w:val="Heading3Char"/>
          <w:b w:val="0"/>
          <w:sz w:val="22"/>
        </w:rPr>
        <w:t xml:space="preserve">A key system barrier is our current lack of clinical information systems that would support identification and monitoring of OA populations, evaluation of newer service models and health outcomes performance.  The National Joint Registries have provided an example of the power of robust outcome data, and as novel therapies are being tested, including biological therapies, consideration for developing </w:t>
      </w:r>
      <w:r>
        <w:rPr>
          <w:rStyle w:val="Heading3Char"/>
          <w:b w:val="0"/>
          <w:sz w:val="22"/>
        </w:rPr>
        <w:t>other OA intervention outcomes</w:t>
      </w:r>
      <w:r w:rsidRPr="00C67C31">
        <w:rPr>
          <w:rStyle w:val="Heading3Char"/>
          <w:b w:val="0"/>
          <w:sz w:val="22"/>
        </w:rPr>
        <w:t xml:space="preserve"> registries should also be considered.</w:t>
      </w:r>
    </w:p>
    <w:p w14:paraId="17143C9C" w14:textId="77777777" w:rsidR="008054B9" w:rsidRPr="00C67C31" w:rsidRDefault="008054B9" w:rsidP="003071E0">
      <w:pPr>
        <w:spacing w:line="480" w:lineRule="auto"/>
        <w:ind w:firstLine="720"/>
        <w:rPr>
          <w:rStyle w:val="Heading3Char"/>
        </w:rPr>
      </w:pPr>
      <w:r w:rsidRPr="00C67C31">
        <w:rPr>
          <w:rStyle w:val="Heading3Char"/>
          <w:b w:val="0"/>
          <w:sz w:val="22"/>
        </w:rPr>
        <w:t xml:space="preserve">Our specialist and primary care services remain poorly integrated, and new service models should be focusing on these vertical linkages, as well as more effective horizontal linkages to </w:t>
      </w:r>
      <w:r>
        <w:rPr>
          <w:rStyle w:val="Heading3Char"/>
          <w:b w:val="0"/>
          <w:sz w:val="22"/>
        </w:rPr>
        <w:t>patient</w:t>
      </w:r>
      <w:r w:rsidRPr="00C67C31">
        <w:rPr>
          <w:rStyle w:val="Heading3Char"/>
          <w:b w:val="0"/>
          <w:sz w:val="22"/>
        </w:rPr>
        <w:t xml:space="preserve"> groups. </w:t>
      </w:r>
    </w:p>
    <w:p w14:paraId="7E65EC5C" w14:textId="77777777" w:rsidR="008054B9" w:rsidRPr="00C67C31" w:rsidRDefault="008054B9" w:rsidP="003071E0">
      <w:pPr>
        <w:spacing w:line="480" w:lineRule="auto"/>
        <w:rPr>
          <w:rStyle w:val="Heading3Char"/>
        </w:rPr>
      </w:pPr>
    </w:p>
    <w:p w14:paraId="27296E66" w14:textId="77777777" w:rsidR="008054B9" w:rsidRDefault="008054B9" w:rsidP="003071E0">
      <w:pPr>
        <w:spacing w:line="480" w:lineRule="auto"/>
        <w:ind w:firstLine="720"/>
        <w:rPr>
          <w:rStyle w:val="Heading3Char"/>
        </w:rPr>
      </w:pPr>
      <w:r w:rsidRPr="00C67C31">
        <w:rPr>
          <w:rStyle w:val="Heading3Char"/>
          <w:b w:val="0"/>
          <w:sz w:val="22"/>
        </w:rPr>
        <w:t>At the clinical interface we still do not know how best to support people with OA in shared decision making and in implementing and sustaining lifestyle behaviour change. Whilst our services have shifted towards a stronger bio</w:t>
      </w:r>
      <w:r>
        <w:rPr>
          <w:rStyle w:val="Heading3Char"/>
          <w:b w:val="0"/>
          <w:sz w:val="22"/>
        </w:rPr>
        <w:t>p</w:t>
      </w:r>
      <w:r w:rsidRPr="00C67C31">
        <w:rPr>
          <w:rStyle w:val="Heading3Char"/>
          <w:b w:val="0"/>
          <w:sz w:val="22"/>
        </w:rPr>
        <w:t>sychosocial model, we need to go further – perhaps to</w:t>
      </w:r>
      <w:r>
        <w:rPr>
          <w:rStyle w:val="Heading3Char"/>
          <w:b w:val="0"/>
          <w:sz w:val="22"/>
        </w:rPr>
        <w:t>wards</w:t>
      </w:r>
      <w:r w:rsidRPr="00C67C31">
        <w:rPr>
          <w:rStyle w:val="Heading3Char"/>
          <w:b w:val="0"/>
          <w:sz w:val="22"/>
        </w:rPr>
        <w:t xml:space="preserve"> a model in which </w:t>
      </w:r>
      <w:r>
        <w:rPr>
          <w:rStyle w:val="Heading3Char"/>
          <w:b w:val="0"/>
          <w:sz w:val="22"/>
        </w:rPr>
        <w:t>clinicians</w:t>
      </w:r>
      <w:r w:rsidRPr="00C67C31">
        <w:rPr>
          <w:rStyle w:val="Heading3Char"/>
          <w:b w:val="0"/>
          <w:sz w:val="22"/>
        </w:rPr>
        <w:t xml:space="preserve"> play a </w:t>
      </w:r>
      <w:r>
        <w:rPr>
          <w:rStyle w:val="Heading3Char"/>
          <w:b w:val="0"/>
          <w:sz w:val="22"/>
        </w:rPr>
        <w:t xml:space="preserve">minor role for </w:t>
      </w:r>
      <w:r w:rsidRPr="00C67C31">
        <w:rPr>
          <w:rStyle w:val="Heading3Char"/>
          <w:b w:val="0"/>
          <w:sz w:val="22"/>
        </w:rPr>
        <w:t>those at risk or with mild to moderate OA symptoms</w:t>
      </w:r>
      <w:r>
        <w:rPr>
          <w:rStyle w:val="Heading3Char"/>
          <w:b w:val="0"/>
          <w:sz w:val="22"/>
        </w:rPr>
        <w:t>, where there are not other clinical comorbidities</w:t>
      </w:r>
      <w:r w:rsidRPr="00C67C31">
        <w:rPr>
          <w:rStyle w:val="Heading3Char"/>
          <w:b w:val="0"/>
          <w:sz w:val="22"/>
        </w:rPr>
        <w:t xml:space="preserve">. As </w:t>
      </w:r>
      <w:r>
        <w:rPr>
          <w:rStyle w:val="Heading3Char"/>
          <w:b w:val="0"/>
          <w:sz w:val="22"/>
        </w:rPr>
        <w:t>patient</w:t>
      </w:r>
      <w:r w:rsidRPr="00C67C31">
        <w:rPr>
          <w:rStyle w:val="Heading3Char"/>
          <w:b w:val="0"/>
          <w:sz w:val="22"/>
        </w:rPr>
        <w:t>s access more and more information from the internet and social networking sites, evidence</w:t>
      </w:r>
      <w:r>
        <w:rPr>
          <w:rStyle w:val="Heading3Char"/>
          <w:b w:val="0"/>
          <w:sz w:val="22"/>
        </w:rPr>
        <w:t>-</w:t>
      </w:r>
      <w:r w:rsidRPr="00C67C31">
        <w:rPr>
          <w:rStyle w:val="Heading3Char"/>
          <w:b w:val="0"/>
          <w:sz w:val="22"/>
        </w:rPr>
        <w:t xml:space="preserve">based guidelines and decision aids will need to be accessible in appropriate </w:t>
      </w:r>
      <w:r>
        <w:rPr>
          <w:rStyle w:val="Heading3Char"/>
          <w:b w:val="0"/>
          <w:sz w:val="22"/>
        </w:rPr>
        <w:t xml:space="preserve">lay </w:t>
      </w:r>
      <w:r w:rsidRPr="00C67C31">
        <w:rPr>
          <w:rStyle w:val="Heading3Char"/>
          <w:b w:val="0"/>
          <w:sz w:val="22"/>
        </w:rPr>
        <w:t>format</w:t>
      </w:r>
      <w:r>
        <w:rPr>
          <w:rStyle w:val="Heading3Char"/>
          <w:b w:val="0"/>
          <w:sz w:val="22"/>
        </w:rPr>
        <w:t>s</w:t>
      </w:r>
      <w:r w:rsidRPr="00C67C31">
        <w:rPr>
          <w:rStyle w:val="Heading3Char"/>
          <w:b w:val="0"/>
          <w:sz w:val="22"/>
        </w:rPr>
        <w:t xml:space="preserve"> and </w:t>
      </w:r>
      <w:r>
        <w:rPr>
          <w:rStyle w:val="Heading3Char"/>
          <w:b w:val="0"/>
          <w:sz w:val="22"/>
        </w:rPr>
        <w:t>patient</w:t>
      </w:r>
      <w:r w:rsidRPr="00C67C31">
        <w:rPr>
          <w:rStyle w:val="Heading3Char"/>
          <w:b w:val="0"/>
          <w:sz w:val="22"/>
        </w:rPr>
        <w:t xml:space="preserve">s provided with appropriate guidance about </w:t>
      </w:r>
      <w:r>
        <w:rPr>
          <w:rStyle w:val="Heading3Char"/>
          <w:b w:val="0"/>
          <w:sz w:val="22"/>
        </w:rPr>
        <w:t xml:space="preserve">the quality of the </w:t>
      </w:r>
      <w:r w:rsidRPr="00C67C31">
        <w:rPr>
          <w:rStyle w:val="Heading3Char"/>
          <w:b w:val="0"/>
          <w:sz w:val="22"/>
        </w:rPr>
        <w:t xml:space="preserve">information </w:t>
      </w:r>
      <w:r>
        <w:rPr>
          <w:rStyle w:val="Heading3Char"/>
          <w:b w:val="0"/>
          <w:sz w:val="22"/>
        </w:rPr>
        <w:t>they are accessing</w:t>
      </w:r>
      <w:r w:rsidRPr="00C67C31">
        <w:rPr>
          <w:rStyle w:val="Heading3Char"/>
          <w:b w:val="0"/>
          <w:sz w:val="22"/>
        </w:rPr>
        <w:t xml:space="preserve">. </w:t>
      </w:r>
    </w:p>
    <w:p w14:paraId="7B7D04F6" w14:textId="77777777" w:rsidR="008054B9" w:rsidRPr="00C67C31" w:rsidRDefault="008054B9" w:rsidP="003071E0">
      <w:pPr>
        <w:spacing w:line="480" w:lineRule="auto"/>
        <w:rPr>
          <w:rStyle w:val="Heading3Char"/>
        </w:rPr>
      </w:pPr>
    </w:p>
    <w:p w14:paraId="06343D45" w14:textId="77777777" w:rsidR="008054B9" w:rsidRPr="00B737DF" w:rsidRDefault="008054B9" w:rsidP="003071E0">
      <w:pPr>
        <w:spacing w:line="480" w:lineRule="auto"/>
        <w:rPr>
          <w:rStyle w:val="Heading3Char"/>
        </w:rPr>
      </w:pPr>
      <w:r w:rsidRPr="00C67C31">
        <w:rPr>
          <w:rStyle w:val="Heading3Char"/>
          <w:b w:val="0"/>
          <w:sz w:val="22"/>
        </w:rPr>
        <w:t xml:space="preserve">There are many areas in </w:t>
      </w:r>
      <w:r>
        <w:rPr>
          <w:rStyle w:val="Heading3Char"/>
          <w:b w:val="0"/>
          <w:sz w:val="22"/>
        </w:rPr>
        <w:t>OA management could be improved</w:t>
      </w:r>
      <w:r w:rsidRPr="00C67C31">
        <w:rPr>
          <w:rStyle w:val="Heading3Char"/>
          <w:b w:val="0"/>
          <w:sz w:val="22"/>
        </w:rPr>
        <w:t>, however in our view</w:t>
      </w:r>
      <w:r>
        <w:rPr>
          <w:rStyle w:val="Heading3Char"/>
          <w:b w:val="0"/>
          <w:sz w:val="22"/>
        </w:rPr>
        <w:t xml:space="preserve">, in relation to the issues discussed in this paper there are some key </w:t>
      </w:r>
      <w:r w:rsidRPr="00C67C31">
        <w:rPr>
          <w:rStyle w:val="Heading3Char"/>
          <w:b w:val="0"/>
          <w:sz w:val="22"/>
        </w:rPr>
        <w:t>priorit</w:t>
      </w:r>
      <w:r>
        <w:rPr>
          <w:rStyle w:val="Heading3Char"/>
          <w:b w:val="0"/>
          <w:sz w:val="22"/>
        </w:rPr>
        <w:t>ies</w:t>
      </w:r>
      <w:r w:rsidRPr="00C67C31">
        <w:rPr>
          <w:rStyle w:val="Heading3Char"/>
          <w:b w:val="0"/>
          <w:sz w:val="22"/>
        </w:rPr>
        <w:t>.</w:t>
      </w:r>
      <w:r>
        <w:rPr>
          <w:rStyle w:val="Heading3Char"/>
          <w:b w:val="0"/>
          <w:sz w:val="22"/>
        </w:rPr>
        <w:t>for research and advocacy.</w:t>
      </w:r>
      <w:r w:rsidRPr="00C67C31">
        <w:rPr>
          <w:rStyle w:val="Heading3Char"/>
          <w:b w:val="0"/>
          <w:sz w:val="22"/>
        </w:rPr>
        <w:t xml:space="preserve"> </w:t>
      </w:r>
      <w:r>
        <w:rPr>
          <w:rStyle w:val="Heading3Char"/>
          <w:b w:val="0"/>
          <w:sz w:val="22"/>
        </w:rPr>
        <w:t>Firstly, for mild to moderate OA and for those at risk of developing OA or OA progression, there must be a focus on</w:t>
      </w:r>
      <w:r w:rsidRPr="00C67C31">
        <w:rPr>
          <w:rStyle w:val="Heading3Char"/>
          <w:b w:val="0"/>
          <w:sz w:val="22"/>
        </w:rPr>
        <w:t xml:space="preserve"> </w:t>
      </w:r>
      <w:r>
        <w:rPr>
          <w:rStyle w:val="Heading3Char"/>
          <w:b w:val="0"/>
          <w:sz w:val="22"/>
        </w:rPr>
        <w:t xml:space="preserve">translational research that targets </w:t>
      </w:r>
      <w:r w:rsidRPr="00C67C31">
        <w:rPr>
          <w:rStyle w:val="Heading3Char"/>
          <w:b w:val="0"/>
          <w:sz w:val="22"/>
        </w:rPr>
        <w:t>behaviour change</w:t>
      </w:r>
      <w:r>
        <w:rPr>
          <w:rStyle w:val="Heading3Char"/>
          <w:b w:val="0"/>
          <w:sz w:val="22"/>
        </w:rPr>
        <w:t>;</w:t>
      </w:r>
      <w:r w:rsidRPr="00C67C31">
        <w:rPr>
          <w:rStyle w:val="Heading3Char"/>
          <w:b w:val="0"/>
          <w:sz w:val="22"/>
        </w:rPr>
        <w:t xml:space="preserve"> to identify </w:t>
      </w:r>
      <w:r>
        <w:rPr>
          <w:rStyle w:val="Heading3Char"/>
          <w:b w:val="0"/>
          <w:sz w:val="22"/>
        </w:rPr>
        <w:t xml:space="preserve">service components and service delivery options that cost-effectively support and sustain </w:t>
      </w:r>
      <w:r w:rsidRPr="00C67C31">
        <w:rPr>
          <w:rStyle w:val="Heading3Char"/>
          <w:b w:val="0"/>
          <w:sz w:val="22"/>
        </w:rPr>
        <w:t xml:space="preserve">lifestyle change, particularly for exercise and weight loss. </w:t>
      </w:r>
      <w:r>
        <w:rPr>
          <w:rStyle w:val="Heading3Char"/>
          <w:b w:val="0"/>
          <w:sz w:val="22"/>
        </w:rPr>
        <w:t xml:space="preserve">Secondly, further research is needed to understand ways in which newer technologies and social learning networks can support clinicians and patients in shared decision making about OA therapeutic interventions such that </w:t>
      </w:r>
      <w:r w:rsidRPr="00155C0E">
        <w:rPr>
          <w:rStyle w:val="Heading3Char"/>
          <w:b w:val="0"/>
          <w:sz w:val="22"/>
        </w:rPr>
        <w:t>those that are cost-effective and safe</w:t>
      </w:r>
      <w:r>
        <w:rPr>
          <w:rStyle w:val="Heading3Char"/>
          <w:b w:val="0"/>
          <w:sz w:val="22"/>
        </w:rPr>
        <w:t xml:space="preserve"> are prioritised</w:t>
      </w:r>
      <w:r w:rsidRPr="00155C0E">
        <w:rPr>
          <w:rStyle w:val="Heading3Char"/>
          <w:b w:val="0"/>
          <w:sz w:val="22"/>
        </w:rPr>
        <w:t>.</w:t>
      </w:r>
      <w:r w:rsidR="00941547" w:rsidRPr="00941547">
        <w:rPr>
          <w:rStyle w:val="Heading3Char"/>
          <w:sz w:val="22"/>
        </w:rPr>
        <w:t xml:space="preserve"> Finally, there needs to</w:t>
      </w:r>
      <w:r>
        <w:rPr>
          <w:rStyle w:val="Heading3Char"/>
          <w:b w:val="0"/>
          <w:sz w:val="22"/>
        </w:rPr>
        <w:t xml:space="preserve"> be research and advocacy to improve use of </w:t>
      </w:r>
      <w:r w:rsidR="00941547" w:rsidRPr="00941547">
        <w:rPr>
          <w:rStyle w:val="Heading3Char"/>
          <w:sz w:val="22"/>
        </w:rPr>
        <w:t>information systems</w:t>
      </w:r>
      <w:r>
        <w:rPr>
          <w:rStyle w:val="Heading3Char"/>
          <w:b w:val="0"/>
          <w:sz w:val="22"/>
        </w:rPr>
        <w:t xml:space="preserve"> at the clinical practice level, to increase development of OA intervention outcomes registries and to harness maximal potential of existing data through data linkage. </w:t>
      </w:r>
    </w:p>
    <w:p w14:paraId="1D1F22C3" w14:textId="77777777" w:rsidR="008054B9" w:rsidRDefault="008054B9" w:rsidP="003071E0">
      <w:pPr>
        <w:spacing w:line="480" w:lineRule="auto"/>
        <w:rPr>
          <w:b/>
          <w:sz w:val="22"/>
        </w:rPr>
        <w:sectPr w:rsidR="008054B9">
          <w:pgSz w:w="12240" w:h="15840"/>
          <w:pgMar w:top="1440" w:right="1800" w:bottom="1440" w:left="1800" w:header="708" w:footer="708" w:gutter="0"/>
          <w:cols w:space="708"/>
          <w:docGrid w:linePitch="360"/>
        </w:sectPr>
      </w:pPr>
      <w:r w:rsidRPr="00AE0E83">
        <w:rPr>
          <w:b/>
          <w:sz w:val="22"/>
        </w:rPr>
        <w:t xml:space="preserve"> </w:t>
      </w:r>
    </w:p>
    <w:p w14:paraId="4E854A23" w14:textId="77777777" w:rsidR="008054B9" w:rsidRPr="00AE0E83" w:rsidRDefault="008054B9" w:rsidP="003071E0">
      <w:pPr>
        <w:spacing w:line="480" w:lineRule="auto"/>
        <w:rPr>
          <w:b/>
          <w:sz w:val="22"/>
        </w:rPr>
      </w:pPr>
      <w:r w:rsidRPr="00AE0E83">
        <w:rPr>
          <w:b/>
          <w:sz w:val="22"/>
        </w:rPr>
        <w:t>Table 1. Improving Care for Chronic Conditions: the 6 pillars of improving health care</w:t>
      </w:r>
      <w:r>
        <w:rPr>
          <w:b/>
          <w:sz w:val="22"/>
        </w:rPr>
        <w:t xml:space="preserve">* </w:t>
      </w:r>
    </w:p>
    <w:p w14:paraId="6A79FC80" w14:textId="77777777" w:rsidR="008054B9" w:rsidRPr="00AE0E83" w:rsidRDefault="008054B9" w:rsidP="003071E0">
      <w:pPr>
        <w:spacing w:line="480" w:lineRule="auto"/>
        <w:rPr>
          <w:b/>
          <w:sz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firstRow="1" w:lastRow="0" w:firstColumn="1" w:lastColumn="0" w:noHBand="0" w:noVBand="0"/>
      </w:tblPr>
      <w:tblGrid>
        <w:gridCol w:w="1658"/>
        <w:gridCol w:w="6763"/>
      </w:tblGrid>
      <w:tr w:rsidR="008054B9" w:rsidRPr="00AE0E83" w14:paraId="371835A5" w14:textId="77777777">
        <w:tc>
          <w:tcPr>
            <w:tcW w:w="1658" w:type="dxa"/>
          </w:tcPr>
          <w:p w14:paraId="64D8A7E5" w14:textId="77777777" w:rsidR="008054B9" w:rsidRPr="00AE0E83" w:rsidRDefault="008054B9" w:rsidP="003071E0">
            <w:pPr>
              <w:spacing w:line="480" w:lineRule="auto"/>
              <w:jc w:val="center"/>
              <w:rPr>
                <w:b/>
                <w:sz w:val="22"/>
              </w:rPr>
            </w:pPr>
            <w:r w:rsidRPr="00AE0E83">
              <w:rPr>
                <w:b/>
                <w:sz w:val="22"/>
              </w:rPr>
              <w:t>Quality Outcome Domain</w:t>
            </w:r>
          </w:p>
        </w:tc>
        <w:tc>
          <w:tcPr>
            <w:tcW w:w="6763" w:type="dxa"/>
          </w:tcPr>
          <w:p w14:paraId="66ADDD85" w14:textId="77777777" w:rsidR="008054B9" w:rsidRPr="00AE0E83" w:rsidRDefault="008054B9" w:rsidP="003071E0">
            <w:pPr>
              <w:spacing w:line="480" w:lineRule="auto"/>
              <w:jc w:val="center"/>
              <w:rPr>
                <w:b/>
                <w:bCs/>
                <w:iCs/>
                <w:sz w:val="22"/>
              </w:rPr>
            </w:pPr>
            <w:r w:rsidRPr="00AE0E83">
              <w:rPr>
                <w:b/>
                <w:bCs/>
                <w:iCs/>
                <w:sz w:val="22"/>
              </w:rPr>
              <w:t>Definitions and Principles of Care Redesign</w:t>
            </w:r>
          </w:p>
        </w:tc>
      </w:tr>
      <w:tr w:rsidR="008054B9" w:rsidRPr="00AE0E83" w14:paraId="01316422" w14:textId="77777777">
        <w:tc>
          <w:tcPr>
            <w:tcW w:w="1658" w:type="dxa"/>
          </w:tcPr>
          <w:p w14:paraId="36CEDE39" w14:textId="77777777" w:rsidR="008054B9" w:rsidRPr="00AE0E83" w:rsidRDefault="008054B9" w:rsidP="003071E0">
            <w:pPr>
              <w:spacing w:line="480" w:lineRule="auto"/>
              <w:rPr>
                <w:sz w:val="22"/>
              </w:rPr>
            </w:pPr>
            <w:r w:rsidRPr="00AE0E83">
              <w:rPr>
                <w:sz w:val="22"/>
              </w:rPr>
              <w:t>Safe</w:t>
            </w:r>
            <w:r>
              <w:rPr>
                <w:sz w:val="22"/>
              </w:rPr>
              <w:t>ty</w:t>
            </w:r>
          </w:p>
        </w:tc>
        <w:tc>
          <w:tcPr>
            <w:tcW w:w="6763" w:type="dxa"/>
          </w:tcPr>
          <w:p w14:paraId="392FFE09" w14:textId="77777777" w:rsidR="008054B9" w:rsidRPr="00AE0E83" w:rsidRDefault="008054B9" w:rsidP="003071E0">
            <w:pPr>
              <w:numPr>
                <w:ilvl w:val="0"/>
                <w:numId w:val="4"/>
              </w:numPr>
              <w:spacing w:line="480" w:lineRule="auto"/>
              <w:rPr>
                <w:bCs/>
                <w:iCs/>
                <w:sz w:val="22"/>
              </w:rPr>
            </w:pPr>
            <w:r>
              <w:rPr>
                <w:bCs/>
                <w:iCs/>
                <w:sz w:val="22"/>
              </w:rPr>
              <w:t>Patient</w:t>
            </w:r>
            <w:r w:rsidRPr="00AE0E83">
              <w:rPr>
                <w:bCs/>
                <w:iCs/>
                <w:sz w:val="22"/>
              </w:rPr>
              <w:t>s should be safe from injury caused by the system</w:t>
            </w:r>
          </w:p>
        </w:tc>
      </w:tr>
      <w:tr w:rsidR="008054B9" w:rsidRPr="00AE0E83" w14:paraId="14BEAF74" w14:textId="77777777">
        <w:tc>
          <w:tcPr>
            <w:tcW w:w="1658" w:type="dxa"/>
          </w:tcPr>
          <w:p w14:paraId="5EDB1D0E" w14:textId="77777777" w:rsidR="008054B9" w:rsidRPr="00AE0E83" w:rsidRDefault="008054B9" w:rsidP="003071E0">
            <w:pPr>
              <w:spacing w:line="480" w:lineRule="auto"/>
              <w:rPr>
                <w:sz w:val="22"/>
              </w:rPr>
            </w:pPr>
            <w:r w:rsidRPr="00AE0E83">
              <w:rPr>
                <w:sz w:val="22"/>
              </w:rPr>
              <w:t>Effective</w:t>
            </w:r>
            <w:r>
              <w:rPr>
                <w:sz w:val="22"/>
              </w:rPr>
              <w:t>ness</w:t>
            </w:r>
            <w:r w:rsidRPr="00AE0E83">
              <w:rPr>
                <w:sz w:val="22"/>
              </w:rPr>
              <w:t xml:space="preserve"> </w:t>
            </w:r>
          </w:p>
        </w:tc>
        <w:tc>
          <w:tcPr>
            <w:tcW w:w="6763" w:type="dxa"/>
          </w:tcPr>
          <w:p w14:paraId="16F67E7A" w14:textId="77777777" w:rsidR="008054B9" w:rsidRPr="00AE0E83" w:rsidRDefault="008054B9" w:rsidP="003071E0">
            <w:pPr>
              <w:numPr>
                <w:ilvl w:val="0"/>
                <w:numId w:val="4"/>
              </w:numPr>
              <w:spacing w:line="480" w:lineRule="auto"/>
              <w:rPr>
                <w:bCs/>
                <w:iCs/>
                <w:sz w:val="22"/>
              </w:rPr>
            </w:pPr>
            <w:r>
              <w:rPr>
                <w:bCs/>
                <w:iCs/>
                <w:sz w:val="22"/>
              </w:rPr>
              <w:t>Patient</w:t>
            </w:r>
            <w:r w:rsidRPr="00AE0E83">
              <w:rPr>
                <w:bCs/>
                <w:iCs/>
                <w:sz w:val="22"/>
              </w:rPr>
              <w:t xml:space="preserve">s should receive care based on the best available scientific knowledge </w:t>
            </w:r>
          </w:p>
          <w:p w14:paraId="095ECBD7" w14:textId="77777777" w:rsidR="008054B9" w:rsidRPr="00AE0E83" w:rsidRDefault="008054B9" w:rsidP="003071E0">
            <w:pPr>
              <w:numPr>
                <w:ilvl w:val="0"/>
                <w:numId w:val="4"/>
              </w:numPr>
              <w:spacing w:line="480" w:lineRule="auto"/>
              <w:rPr>
                <w:bCs/>
                <w:iCs/>
                <w:sz w:val="22"/>
              </w:rPr>
            </w:pPr>
            <w:r>
              <w:rPr>
                <w:bCs/>
                <w:iCs/>
                <w:sz w:val="22"/>
              </w:rPr>
              <w:t>Health care provider</w:t>
            </w:r>
            <w:r w:rsidRPr="00AE0E83">
              <w:rPr>
                <w:bCs/>
                <w:iCs/>
                <w:sz w:val="22"/>
              </w:rPr>
              <w:t>s and organisations should actively collaborate and communicate to ensure appropriate exchange of information and coordination of care</w:t>
            </w:r>
          </w:p>
        </w:tc>
      </w:tr>
      <w:tr w:rsidR="008054B9" w:rsidRPr="00AE0E83" w14:paraId="1E5A55D8" w14:textId="77777777">
        <w:tc>
          <w:tcPr>
            <w:tcW w:w="1658" w:type="dxa"/>
            <w:tcBorders>
              <w:bottom w:val="nil"/>
            </w:tcBorders>
          </w:tcPr>
          <w:p w14:paraId="725DBF64" w14:textId="77777777" w:rsidR="008054B9" w:rsidRPr="00AE0E83" w:rsidRDefault="008054B9" w:rsidP="003071E0">
            <w:pPr>
              <w:spacing w:line="480" w:lineRule="auto"/>
              <w:rPr>
                <w:sz w:val="22"/>
              </w:rPr>
            </w:pPr>
            <w:r>
              <w:rPr>
                <w:sz w:val="22"/>
              </w:rPr>
              <w:t>Patient-</w:t>
            </w:r>
            <w:r w:rsidRPr="00AE0E83">
              <w:rPr>
                <w:sz w:val="22"/>
              </w:rPr>
              <w:t>Centred</w:t>
            </w:r>
            <w:r>
              <w:rPr>
                <w:sz w:val="22"/>
              </w:rPr>
              <w:t xml:space="preserve"> Care</w:t>
            </w:r>
            <w:r w:rsidRPr="00AE0E83">
              <w:rPr>
                <w:sz w:val="22"/>
              </w:rPr>
              <w:t xml:space="preserve"> </w:t>
            </w:r>
          </w:p>
        </w:tc>
        <w:tc>
          <w:tcPr>
            <w:tcW w:w="6763" w:type="dxa"/>
            <w:tcBorders>
              <w:bottom w:val="nil"/>
            </w:tcBorders>
          </w:tcPr>
          <w:p w14:paraId="11845FC2" w14:textId="77777777" w:rsidR="008054B9" w:rsidRPr="00AE0E83" w:rsidRDefault="008054B9" w:rsidP="003071E0">
            <w:pPr>
              <w:numPr>
                <w:ilvl w:val="0"/>
                <w:numId w:val="2"/>
              </w:numPr>
              <w:spacing w:line="480" w:lineRule="auto"/>
              <w:rPr>
                <w:bCs/>
                <w:iCs/>
                <w:sz w:val="22"/>
              </w:rPr>
            </w:pPr>
            <w:r w:rsidRPr="00AE0E83">
              <w:rPr>
                <w:bCs/>
                <w:iCs/>
                <w:sz w:val="22"/>
              </w:rPr>
              <w:t xml:space="preserve">Care is customized and based on </w:t>
            </w:r>
            <w:r>
              <w:rPr>
                <w:bCs/>
                <w:iCs/>
                <w:sz w:val="22"/>
              </w:rPr>
              <w:t>patient</w:t>
            </w:r>
            <w:r w:rsidRPr="00AE0E83">
              <w:rPr>
                <w:bCs/>
                <w:iCs/>
                <w:sz w:val="22"/>
              </w:rPr>
              <w:t>s’ needs and values</w:t>
            </w:r>
          </w:p>
        </w:tc>
      </w:tr>
      <w:tr w:rsidR="008054B9" w:rsidRPr="00AE0E83" w14:paraId="3F512B3E" w14:textId="77777777">
        <w:tc>
          <w:tcPr>
            <w:tcW w:w="1658" w:type="dxa"/>
            <w:tcBorders>
              <w:top w:val="nil"/>
              <w:bottom w:val="nil"/>
            </w:tcBorders>
          </w:tcPr>
          <w:p w14:paraId="0A9BF412" w14:textId="77777777" w:rsidR="008054B9" w:rsidRPr="00AE0E83" w:rsidRDefault="008054B9" w:rsidP="003071E0">
            <w:pPr>
              <w:spacing w:line="480" w:lineRule="auto"/>
              <w:rPr>
                <w:sz w:val="22"/>
              </w:rPr>
            </w:pPr>
          </w:p>
        </w:tc>
        <w:tc>
          <w:tcPr>
            <w:tcW w:w="6763" w:type="dxa"/>
            <w:tcBorders>
              <w:top w:val="nil"/>
              <w:bottom w:val="nil"/>
            </w:tcBorders>
          </w:tcPr>
          <w:p w14:paraId="1BEF1DA6" w14:textId="77777777" w:rsidR="008054B9" w:rsidRPr="00AE0E83" w:rsidRDefault="008054B9" w:rsidP="003071E0">
            <w:pPr>
              <w:numPr>
                <w:ilvl w:val="0"/>
                <w:numId w:val="2"/>
              </w:numPr>
              <w:spacing w:line="480" w:lineRule="auto"/>
              <w:rPr>
                <w:bCs/>
                <w:iCs/>
                <w:sz w:val="22"/>
              </w:rPr>
            </w:pPr>
            <w:r w:rsidRPr="00AE0E83">
              <w:rPr>
                <w:bCs/>
                <w:iCs/>
                <w:sz w:val="22"/>
              </w:rPr>
              <w:t xml:space="preserve">The health system should make information available to </w:t>
            </w:r>
            <w:r>
              <w:rPr>
                <w:bCs/>
                <w:iCs/>
                <w:sz w:val="22"/>
              </w:rPr>
              <w:t>patient</w:t>
            </w:r>
            <w:r w:rsidRPr="00AE0E83">
              <w:rPr>
                <w:bCs/>
                <w:iCs/>
                <w:sz w:val="22"/>
              </w:rPr>
              <w:t>s and their families that allows them to make informed decisions when selecting a health plan, hospital or clinical practice. This should include information describing the system’s performance on safety, evidence-based practice and patient satisfaction</w:t>
            </w:r>
          </w:p>
        </w:tc>
      </w:tr>
      <w:tr w:rsidR="008054B9" w:rsidRPr="00AE0E83" w14:paraId="069F82A5" w14:textId="77777777">
        <w:tc>
          <w:tcPr>
            <w:tcW w:w="1658" w:type="dxa"/>
            <w:tcBorders>
              <w:top w:val="nil"/>
              <w:bottom w:val="nil"/>
            </w:tcBorders>
          </w:tcPr>
          <w:p w14:paraId="27F4BD5F" w14:textId="77777777" w:rsidR="008054B9" w:rsidRPr="00AE0E83" w:rsidRDefault="008054B9" w:rsidP="003071E0">
            <w:pPr>
              <w:spacing w:line="480" w:lineRule="auto"/>
              <w:rPr>
                <w:sz w:val="22"/>
              </w:rPr>
            </w:pPr>
          </w:p>
        </w:tc>
        <w:tc>
          <w:tcPr>
            <w:tcW w:w="6763" w:type="dxa"/>
            <w:tcBorders>
              <w:top w:val="nil"/>
              <w:bottom w:val="nil"/>
            </w:tcBorders>
          </w:tcPr>
          <w:p w14:paraId="7311A2CD" w14:textId="77777777" w:rsidR="008054B9" w:rsidRPr="00AE0E83" w:rsidRDefault="008054B9" w:rsidP="003071E0">
            <w:pPr>
              <w:numPr>
                <w:ilvl w:val="0"/>
                <w:numId w:val="2"/>
              </w:numPr>
              <w:spacing w:line="480" w:lineRule="auto"/>
              <w:rPr>
                <w:bCs/>
                <w:iCs/>
                <w:sz w:val="22"/>
              </w:rPr>
            </w:pPr>
            <w:r>
              <w:rPr>
                <w:bCs/>
                <w:iCs/>
                <w:sz w:val="22"/>
              </w:rPr>
              <w:t>Patient</w:t>
            </w:r>
            <w:r w:rsidRPr="00AE0E83">
              <w:rPr>
                <w:bCs/>
                <w:iCs/>
                <w:sz w:val="22"/>
              </w:rPr>
              <w:t>s are given necessary information and the opportunity to exercise the degree of control, they choose over health care decisions that affect them</w:t>
            </w:r>
          </w:p>
        </w:tc>
      </w:tr>
      <w:tr w:rsidR="008054B9" w:rsidRPr="00AE0E83" w14:paraId="4EF49F7A" w14:textId="77777777">
        <w:tc>
          <w:tcPr>
            <w:tcW w:w="1658" w:type="dxa"/>
            <w:tcBorders>
              <w:top w:val="nil"/>
              <w:bottom w:val="nil"/>
            </w:tcBorders>
          </w:tcPr>
          <w:p w14:paraId="3063A445" w14:textId="77777777" w:rsidR="008054B9" w:rsidRPr="00AE0E83" w:rsidRDefault="008054B9" w:rsidP="003071E0">
            <w:pPr>
              <w:spacing w:line="480" w:lineRule="auto"/>
              <w:rPr>
                <w:sz w:val="22"/>
              </w:rPr>
            </w:pPr>
          </w:p>
        </w:tc>
        <w:tc>
          <w:tcPr>
            <w:tcW w:w="6763" w:type="dxa"/>
            <w:tcBorders>
              <w:top w:val="nil"/>
              <w:bottom w:val="nil"/>
            </w:tcBorders>
          </w:tcPr>
          <w:p w14:paraId="79A1CAF9" w14:textId="77777777" w:rsidR="008054B9" w:rsidRPr="00AE0E83" w:rsidRDefault="008054B9" w:rsidP="003071E0">
            <w:pPr>
              <w:numPr>
                <w:ilvl w:val="0"/>
                <w:numId w:val="2"/>
              </w:numPr>
              <w:spacing w:line="480" w:lineRule="auto"/>
              <w:rPr>
                <w:bCs/>
                <w:iCs/>
                <w:sz w:val="22"/>
              </w:rPr>
            </w:pPr>
            <w:r>
              <w:rPr>
                <w:bCs/>
                <w:iCs/>
                <w:sz w:val="22"/>
              </w:rPr>
              <w:t>Health care provider</w:t>
            </w:r>
            <w:r w:rsidRPr="00AE0E83">
              <w:rPr>
                <w:bCs/>
                <w:iCs/>
                <w:sz w:val="22"/>
              </w:rPr>
              <w:t xml:space="preserve">s and </w:t>
            </w:r>
            <w:r>
              <w:rPr>
                <w:bCs/>
                <w:iCs/>
                <w:sz w:val="22"/>
              </w:rPr>
              <w:t>patient</w:t>
            </w:r>
            <w:r w:rsidRPr="00AE0E83">
              <w:rPr>
                <w:bCs/>
                <w:iCs/>
                <w:sz w:val="22"/>
              </w:rPr>
              <w:t>s should communicate effectively and share information</w:t>
            </w:r>
          </w:p>
        </w:tc>
      </w:tr>
      <w:tr w:rsidR="008054B9" w:rsidRPr="00AE0E83" w14:paraId="5BC9F6E2" w14:textId="77777777">
        <w:tc>
          <w:tcPr>
            <w:tcW w:w="1658" w:type="dxa"/>
            <w:tcBorders>
              <w:top w:val="nil"/>
            </w:tcBorders>
          </w:tcPr>
          <w:p w14:paraId="1996F040" w14:textId="77777777" w:rsidR="008054B9" w:rsidRPr="00AE0E83" w:rsidRDefault="008054B9" w:rsidP="003071E0">
            <w:pPr>
              <w:spacing w:line="480" w:lineRule="auto"/>
              <w:rPr>
                <w:sz w:val="22"/>
              </w:rPr>
            </w:pPr>
          </w:p>
        </w:tc>
        <w:tc>
          <w:tcPr>
            <w:tcW w:w="6763" w:type="dxa"/>
            <w:tcBorders>
              <w:top w:val="nil"/>
            </w:tcBorders>
          </w:tcPr>
          <w:p w14:paraId="4E8B946D" w14:textId="77777777" w:rsidR="008054B9" w:rsidRPr="00AE0E83" w:rsidRDefault="008054B9" w:rsidP="003071E0">
            <w:pPr>
              <w:numPr>
                <w:ilvl w:val="0"/>
                <w:numId w:val="2"/>
              </w:numPr>
              <w:spacing w:line="480" w:lineRule="auto"/>
              <w:rPr>
                <w:bCs/>
                <w:iCs/>
                <w:sz w:val="22"/>
              </w:rPr>
            </w:pPr>
            <w:r w:rsidRPr="00AE0E83">
              <w:rPr>
                <w:bCs/>
                <w:iCs/>
                <w:sz w:val="22"/>
              </w:rPr>
              <w:t xml:space="preserve">The health system should make information available to </w:t>
            </w:r>
            <w:r>
              <w:rPr>
                <w:bCs/>
                <w:iCs/>
                <w:sz w:val="22"/>
              </w:rPr>
              <w:t>patient</w:t>
            </w:r>
            <w:r w:rsidRPr="00AE0E83">
              <w:rPr>
                <w:bCs/>
                <w:iCs/>
                <w:sz w:val="22"/>
              </w:rPr>
              <w:t>s and their families that allows them to make informed decisions when selecting a health plan, hospital or clinical practice. This should include information describing the system’s performance on safety, evidence-based practice and patient satisfaction</w:t>
            </w:r>
          </w:p>
        </w:tc>
      </w:tr>
      <w:tr w:rsidR="008054B9" w:rsidRPr="00AE0E83" w14:paraId="7CDF0347" w14:textId="77777777">
        <w:tc>
          <w:tcPr>
            <w:tcW w:w="1658" w:type="dxa"/>
          </w:tcPr>
          <w:p w14:paraId="6E111B68" w14:textId="77777777" w:rsidR="008054B9" w:rsidRPr="00AE0E83" w:rsidRDefault="008054B9" w:rsidP="003071E0">
            <w:pPr>
              <w:spacing w:line="480" w:lineRule="auto"/>
              <w:rPr>
                <w:sz w:val="22"/>
              </w:rPr>
            </w:pPr>
            <w:r w:rsidRPr="00AE0E83">
              <w:rPr>
                <w:sz w:val="22"/>
              </w:rPr>
              <w:t>Timel</w:t>
            </w:r>
            <w:r>
              <w:rPr>
                <w:sz w:val="22"/>
              </w:rPr>
              <w:t>iness</w:t>
            </w:r>
            <w:r w:rsidRPr="00AE0E83">
              <w:rPr>
                <w:sz w:val="22"/>
              </w:rPr>
              <w:t xml:space="preserve"> </w:t>
            </w:r>
            <w:r>
              <w:rPr>
                <w:sz w:val="22"/>
              </w:rPr>
              <w:t>and Appropriateness</w:t>
            </w:r>
            <w:r w:rsidRPr="00AE0E83">
              <w:rPr>
                <w:sz w:val="22"/>
              </w:rPr>
              <w:t xml:space="preserve"> </w:t>
            </w:r>
          </w:p>
        </w:tc>
        <w:tc>
          <w:tcPr>
            <w:tcW w:w="6763" w:type="dxa"/>
          </w:tcPr>
          <w:p w14:paraId="215566C9" w14:textId="77777777" w:rsidR="008054B9" w:rsidRPr="00AE0E83" w:rsidRDefault="008054B9" w:rsidP="003071E0">
            <w:pPr>
              <w:numPr>
                <w:ilvl w:val="0"/>
                <w:numId w:val="4"/>
              </w:numPr>
              <w:spacing w:line="480" w:lineRule="auto"/>
              <w:rPr>
                <w:bCs/>
                <w:iCs/>
                <w:sz w:val="22"/>
              </w:rPr>
            </w:pPr>
            <w:r w:rsidRPr="00AE0E83">
              <w:rPr>
                <w:bCs/>
                <w:iCs/>
                <w:sz w:val="22"/>
              </w:rPr>
              <w:t xml:space="preserve">The system should anticipate patient needs, rather than react to events, </w:t>
            </w:r>
          </w:p>
          <w:p w14:paraId="6454E630" w14:textId="77777777" w:rsidR="008054B9" w:rsidRDefault="008054B9" w:rsidP="003071E0">
            <w:pPr>
              <w:numPr>
                <w:ilvl w:val="0"/>
                <w:numId w:val="4"/>
              </w:numPr>
              <w:spacing w:line="480" w:lineRule="auto"/>
              <w:rPr>
                <w:bCs/>
                <w:iCs/>
                <w:sz w:val="22"/>
              </w:rPr>
            </w:pPr>
            <w:r w:rsidRPr="00AE0E83">
              <w:rPr>
                <w:bCs/>
                <w:iCs/>
                <w:sz w:val="22"/>
              </w:rPr>
              <w:t xml:space="preserve">Care should be continuous </w:t>
            </w:r>
          </w:p>
          <w:p w14:paraId="280FAFFB" w14:textId="77777777" w:rsidR="008054B9" w:rsidRPr="00AE0E83" w:rsidRDefault="008054B9" w:rsidP="003071E0">
            <w:pPr>
              <w:numPr>
                <w:ilvl w:val="0"/>
                <w:numId w:val="4"/>
              </w:numPr>
              <w:spacing w:line="480" w:lineRule="auto"/>
              <w:rPr>
                <w:bCs/>
                <w:iCs/>
                <w:sz w:val="22"/>
              </w:rPr>
            </w:pPr>
            <w:r>
              <w:rPr>
                <w:bCs/>
                <w:iCs/>
                <w:sz w:val="22"/>
              </w:rPr>
              <w:t>Health care provider</w:t>
            </w:r>
            <w:r w:rsidRPr="00AE0E83">
              <w:rPr>
                <w:bCs/>
                <w:iCs/>
                <w:sz w:val="22"/>
              </w:rPr>
              <w:t>s and institutions should actively collaborate and communicate to ensure appropriate exchange of information and coordination of care</w:t>
            </w:r>
          </w:p>
        </w:tc>
      </w:tr>
      <w:tr w:rsidR="008054B9" w:rsidRPr="00AE0E83" w14:paraId="687AEB77" w14:textId="77777777">
        <w:tc>
          <w:tcPr>
            <w:tcW w:w="1658" w:type="dxa"/>
          </w:tcPr>
          <w:p w14:paraId="128DA57E" w14:textId="77777777" w:rsidR="008054B9" w:rsidRPr="00AE0E83" w:rsidRDefault="008054B9" w:rsidP="003071E0">
            <w:pPr>
              <w:spacing w:line="480" w:lineRule="auto"/>
              <w:rPr>
                <w:sz w:val="22"/>
              </w:rPr>
            </w:pPr>
            <w:r>
              <w:rPr>
                <w:sz w:val="22"/>
              </w:rPr>
              <w:t>Efficiency</w:t>
            </w:r>
          </w:p>
        </w:tc>
        <w:tc>
          <w:tcPr>
            <w:tcW w:w="6763" w:type="dxa"/>
          </w:tcPr>
          <w:p w14:paraId="5F129F6C" w14:textId="77777777" w:rsidR="008054B9" w:rsidRPr="00AE0E83" w:rsidRDefault="008054B9" w:rsidP="003071E0">
            <w:pPr>
              <w:numPr>
                <w:ilvl w:val="0"/>
                <w:numId w:val="4"/>
              </w:numPr>
              <w:spacing w:line="480" w:lineRule="auto"/>
              <w:rPr>
                <w:bCs/>
                <w:iCs/>
                <w:sz w:val="22"/>
              </w:rPr>
            </w:pPr>
            <w:r w:rsidRPr="00AE0E83">
              <w:rPr>
                <w:bCs/>
                <w:iCs/>
                <w:sz w:val="22"/>
              </w:rPr>
              <w:t>The health system should not waste resources or patient time</w:t>
            </w:r>
          </w:p>
        </w:tc>
      </w:tr>
      <w:tr w:rsidR="008054B9" w:rsidRPr="00AE0E83" w14:paraId="4D9254EE" w14:textId="77777777">
        <w:tc>
          <w:tcPr>
            <w:tcW w:w="1658" w:type="dxa"/>
          </w:tcPr>
          <w:p w14:paraId="4EA83063" w14:textId="77777777" w:rsidR="008054B9" w:rsidRPr="00AE0E83" w:rsidRDefault="008054B9" w:rsidP="003071E0">
            <w:pPr>
              <w:spacing w:line="480" w:lineRule="auto"/>
              <w:rPr>
                <w:sz w:val="22"/>
              </w:rPr>
            </w:pPr>
            <w:r>
              <w:rPr>
                <w:sz w:val="22"/>
              </w:rPr>
              <w:t>Equity</w:t>
            </w:r>
          </w:p>
        </w:tc>
        <w:tc>
          <w:tcPr>
            <w:tcW w:w="6763" w:type="dxa"/>
          </w:tcPr>
          <w:p w14:paraId="25551EFB" w14:textId="77777777" w:rsidR="008054B9" w:rsidRPr="00AE0E83" w:rsidRDefault="008054B9" w:rsidP="003071E0">
            <w:pPr>
              <w:pStyle w:val="NormalWeb"/>
              <w:numPr>
                <w:ilvl w:val="0"/>
                <w:numId w:val="4"/>
              </w:numPr>
              <w:spacing w:beforeLines="0" w:afterLines="0" w:line="480" w:lineRule="auto"/>
              <w:rPr>
                <w:rFonts w:ascii="Times New Roman" w:hAnsi="Times New Roman"/>
                <w:sz w:val="22"/>
              </w:rPr>
            </w:pPr>
            <w:r w:rsidRPr="00AE0E83">
              <w:rPr>
                <w:rFonts w:ascii="Times New Roman" w:hAnsi="Times New Roman"/>
                <w:sz w:val="22"/>
              </w:rPr>
              <w:t xml:space="preserve">Care should not vary in quality because of gender, ethnicity, geographic location, and socio- economic status. </w:t>
            </w:r>
          </w:p>
        </w:tc>
      </w:tr>
    </w:tbl>
    <w:p w14:paraId="01D10ED3" w14:textId="77777777" w:rsidR="008054B9" w:rsidRPr="00AE0E83" w:rsidRDefault="008054B9" w:rsidP="003071E0">
      <w:pPr>
        <w:spacing w:line="480" w:lineRule="auto"/>
        <w:rPr>
          <w:b/>
          <w:sz w:val="22"/>
        </w:rPr>
      </w:pPr>
    </w:p>
    <w:p w14:paraId="4C325865" w14:textId="77777777" w:rsidR="008054B9" w:rsidRPr="00496338" w:rsidRDefault="008054B9" w:rsidP="003071E0">
      <w:pPr>
        <w:spacing w:line="480" w:lineRule="auto"/>
        <w:rPr>
          <w:sz w:val="22"/>
        </w:rPr>
        <w:sectPr w:rsidR="008054B9" w:rsidRPr="00496338">
          <w:pgSz w:w="12240" w:h="15840"/>
          <w:pgMar w:top="1440" w:right="1800" w:bottom="1440" w:left="1800" w:header="708" w:footer="708" w:gutter="0"/>
          <w:cols w:space="708"/>
          <w:docGrid w:linePitch="360"/>
        </w:sectPr>
      </w:pPr>
      <w:r w:rsidRPr="00496338">
        <w:rPr>
          <w:sz w:val="22"/>
        </w:rPr>
        <w:t xml:space="preserve">* </w:t>
      </w:r>
      <w:r>
        <w:rPr>
          <w:sz w:val="22"/>
        </w:rPr>
        <w:t>Adapted, based on i</w:t>
      </w:r>
      <w:r w:rsidRPr="00496338">
        <w:rPr>
          <w:sz w:val="22"/>
        </w:rPr>
        <w:t>nformation within the Institute of Medicine Report</w:t>
      </w:r>
      <w:r>
        <w:rPr>
          <w:sz w:val="22"/>
        </w:rPr>
        <w:t>,</w:t>
      </w:r>
      <w:r w:rsidRPr="00496338">
        <w:rPr>
          <w:sz w:val="22"/>
        </w:rPr>
        <w:t xml:space="preserve"> Crossing the Quality Chasm</w:t>
      </w:r>
      <w:r>
        <w:rPr>
          <w:sz w:val="22"/>
        </w:rPr>
        <w:t>: A new health system for the 21</w:t>
      </w:r>
      <w:r w:rsidRPr="00496338">
        <w:rPr>
          <w:sz w:val="22"/>
          <w:vertAlign w:val="superscript"/>
        </w:rPr>
        <w:t>st</w:t>
      </w:r>
      <w:r>
        <w:rPr>
          <w:sz w:val="22"/>
        </w:rPr>
        <w:t xml:space="preserve"> century</w:t>
      </w:r>
      <w:r w:rsidRPr="00496338">
        <w:rPr>
          <w:sz w:val="22"/>
        </w:rPr>
        <w:t>.</w:t>
      </w:r>
      <w:r>
        <w:rPr>
          <w:noProof/>
          <w:sz w:val="22"/>
        </w:rPr>
        <w:t>(2)</w:t>
      </w:r>
    </w:p>
    <w:p w14:paraId="4275E6D2" w14:textId="77777777" w:rsidR="008054B9" w:rsidRPr="00AE0E83" w:rsidRDefault="008054B9" w:rsidP="003071E0">
      <w:pPr>
        <w:spacing w:line="480" w:lineRule="auto"/>
        <w:rPr>
          <w:sz w:val="22"/>
        </w:rPr>
      </w:pPr>
    </w:p>
    <w:p w14:paraId="4024E5BF" w14:textId="77777777" w:rsidR="008054B9" w:rsidRPr="00AE0E83" w:rsidRDefault="008054B9" w:rsidP="003071E0">
      <w:pPr>
        <w:spacing w:line="480" w:lineRule="auto"/>
        <w:rPr>
          <w:b/>
          <w:sz w:val="22"/>
        </w:rPr>
      </w:pPr>
      <w:r w:rsidRPr="00AE0E83">
        <w:rPr>
          <w:b/>
          <w:sz w:val="22"/>
        </w:rPr>
        <w:t xml:space="preserve">Table 2.  Summary of </w:t>
      </w:r>
      <w:r w:rsidRPr="00AE0E83">
        <w:rPr>
          <w:b/>
          <w:i/>
          <w:sz w:val="22"/>
        </w:rPr>
        <w:t>initial</w:t>
      </w:r>
      <w:r w:rsidRPr="00AE0E83">
        <w:rPr>
          <w:b/>
          <w:sz w:val="22"/>
        </w:rPr>
        <w:t xml:space="preserve"> conservative non-pharmacological management options for OA hand, knee and hip based on the American College of Rheumatology Guidelines</w:t>
      </w:r>
      <w:r>
        <w:rPr>
          <w:b/>
          <w:sz w:val="22"/>
        </w:rPr>
        <w:t>*.</w:t>
      </w:r>
      <w:r>
        <w:rPr>
          <w:b/>
          <w:noProof/>
          <w:sz w:val="22"/>
        </w:rPr>
        <w:t>(10)</w:t>
      </w:r>
    </w:p>
    <w:p w14:paraId="628EB9F5" w14:textId="77777777" w:rsidR="008054B9" w:rsidRPr="00AE0E83" w:rsidRDefault="008054B9" w:rsidP="003071E0">
      <w:pPr>
        <w:spacing w:line="480" w:lineRule="auto"/>
        <w:rPr>
          <w:b/>
          <w:sz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firstRow="1" w:lastRow="0" w:firstColumn="1" w:lastColumn="0" w:noHBand="0" w:noVBand="0"/>
      </w:tblPr>
      <w:tblGrid>
        <w:gridCol w:w="1951"/>
        <w:gridCol w:w="2268"/>
        <w:gridCol w:w="2268"/>
        <w:gridCol w:w="2369"/>
      </w:tblGrid>
      <w:tr w:rsidR="008054B9" w:rsidRPr="00AE0E83" w14:paraId="31C10721" w14:textId="77777777">
        <w:tc>
          <w:tcPr>
            <w:tcW w:w="1951" w:type="dxa"/>
          </w:tcPr>
          <w:p w14:paraId="1880E996" w14:textId="77777777" w:rsidR="008054B9" w:rsidRPr="00AE0E83" w:rsidRDefault="008054B9" w:rsidP="003071E0">
            <w:pPr>
              <w:spacing w:line="480" w:lineRule="auto"/>
              <w:rPr>
                <w:b/>
                <w:sz w:val="22"/>
              </w:rPr>
            </w:pPr>
            <w:r w:rsidRPr="00AE0E83">
              <w:rPr>
                <w:b/>
                <w:sz w:val="22"/>
              </w:rPr>
              <w:t>Treatment</w:t>
            </w:r>
          </w:p>
        </w:tc>
        <w:tc>
          <w:tcPr>
            <w:tcW w:w="2268" w:type="dxa"/>
          </w:tcPr>
          <w:p w14:paraId="248DE374" w14:textId="77777777" w:rsidR="008054B9" w:rsidRPr="00AE0E83" w:rsidRDefault="008054B9" w:rsidP="003071E0">
            <w:pPr>
              <w:spacing w:line="480" w:lineRule="auto"/>
              <w:jc w:val="center"/>
              <w:rPr>
                <w:b/>
                <w:sz w:val="22"/>
              </w:rPr>
            </w:pPr>
            <w:r w:rsidRPr="00AE0E83">
              <w:rPr>
                <w:b/>
                <w:sz w:val="22"/>
              </w:rPr>
              <w:t>OA Hand</w:t>
            </w:r>
          </w:p>
        </w:tc>
        <w:tc>
          <w:tcPr>
            <w:tcW w:w="2268" w:type="dxa"/>
          </w:tcPr>
          <w:p w14:paraId="725BA950" w14:textId="77777777" w:rsidR="008054B9" w:rsidRPr="00AE0E83" w:rsidRDefault="008054B9" w:rsidP="003071E0">
            <w:pPr>
              <w:spacing w:line="480" w:lineRule="auto"/>
              <w:jc w:val="center"/>
              <w:rPr>
                <w:b/>
                <w:sz w:val="22"/>
              </w:rPr>
            </w:pPr>
            <w:r w:rsidRPr="00AE0E83">
              <w:rPr>
                <w:b/>
                <w:sz w:val="22"/>
              </w:rPr>
              <w:t>OA Knee</w:t>
            </w:r>
          </w:p>
        </w:tc>
        <w:tc>
          <w:tcPr>
            <w:tcW w:w="2369" w:type="dxa"/>
          </w:tcPr>
          <w:p w14:paraId="417B498A" w14:textId="77777777" w:rsidR="008054B9" w:rsidRPr="00AE0E83" w:rsidRDefault="008054B9" w:rsidP="003071E0">
            <w:pPr>
              <w:spacing w:line="480" w:lineRule="auto"/>
              <w:jc w:val="center"/>
              <w:rPr>
                <w:b/>
                <w:sz w:val="22"/>
              </w:rPr>
            </w:pPr>
            <w:r w:rsidRPr="00AE0E83">
              <w:rPr>
                <w:b/>
                <w:sz w:val="22"/>
              </w:rPr>
              <w:t>OA Hip</w:t>
            </w:r>
          </w:p>
        </w:tc>
      </w:tr>
      <w:tr w:rsidR="008054B9" w:rsidRPr="00AE0E83" w14:paraId="0B44F063" w14:textId="77777777">
        <w:tc>
          <w:tcPr>
            <w:tcW w:w="1951" w:type="dxa"/>
          </w:tcPr>
          <w:p w14:paraId="553B4837" w14:textId="77777777" w:rsidR="008054B9" w:rsidRPr="00AE0E83" w:rsidRDefault="008054B9" w:rsidP="003071E0">
            <w:pPr>
              <w:spacing w:line="480" w:lineRule="auto"/>
              <w:rPr>
                <w:sz w:val="22"/>
              </w:rPr>
            </w:pPr>
            <w:r w:rsidRPr="00AE0E83">
              <w:rPr>
                <w:sz w:val="22"/>
              </w:rPr>
              <w:t>Patient education/</w:t>
            </w:r>
            <w:r>
              <w:rPr>
                <w:sz w:val="22"/>
              </w:rPr>
              <w:t>self-management</w:t>
            </w:r>
            <w:r w:rsidRPr="00AE0E83">
              <w:rPr>
                <w:sz w:val="22"/>
              </w:rPr>
              <w:t xml:space="preserve"> programs</w:t>
            </w:r>
          </w:p>
        </w:tc>
        <w:tc>
          <w:tcPr>
            <w:tcW w:w="2268" w:type="dxa"/>
          </w:tcPr>
          <w:p w14:paraId="5E4E4DE8" w14:textId="77777777" w:rsidR="008054B9" w:rsidRPr="00AE0E83" w:rsidRDefault="008054B9" w:rsidP="003071E0">
            <w:pPr>
              <w:spacing w:line="480" w:lineRule="auto"/>
              <w:jc w:val="center"/>
              <w:rPr>
                <w:sz w:val="22"/>
              </w:rPr>
            </w:pPr>
            <w:r w:rsidRPr="00AE0E83">
              <w:rPr>
                <w:sz w:val="22"/>
              </w:rPr>
              <w:sym w:font="Symbol" w:char="F0D6"/>
            </w:r>
            <w:r w:rsidRPr="00AE0E83">
              <w:rPr>
                <w:sz w:val="22"/>
              </w:rPr>
              <w:t xml:space="preserve"> </w:t>
            </w:r>
          </w:p>
          <w:p w14:paraId="7D0F94A5" w14:textId="77777777" w:rsidR="008054B9" w:rsidRPr="00AE0E83" w:rsidRDefault="008054B9" w:rsidP="003071E0">
            <w:pPr>
              <w:spacing w:line="480" w:lineRule="auto"/>
              <w:jc w:val="center"/>
              <w:rPr>
                <w:sz w:val="22"/>
              </w:rPr>
            </w:pPr>
            <w:r w:rsidRPr="00AE0E83">
              <w:rPr>
                <w:sz w:val="22"/>
              </w:rPr>
              <w:t>for joint protection techniques</w:t>
            </w:r>
          </w:p>
        </w:tc>
        <w:tc>
          <w:tcPr>
            <w:tcW w:w="2268" w:type="dxa"/>
          </w:tcPr>
          <w:p w14:paraId="59C67633"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2DB170E6"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3AC9EBAE" w14:textId="77777777">
        <w:tc>
          <w:tcPr>
            <w:tcW w:w="1951" w:type="dxa"/>
          </w:tcPr>
          <w:p w14:paraId="6EC6CEB8" w14:textId="77777777" w:rsidR="008054B9" w:rsidRPr="00AE0E83" w:rsidRDefault="008054B9" w:rsidP="003071E0">
            <w:pPr>
              <w:spacing w:line="480" w:lineRule="auto"/>
              <w:rPr>
                <w:sz w:val="22"/>
              </w:rPr>
            </w:pPr>
            <w:r w:rsidRPr="00AE0E83">
              <w:rPr>
                <w:sz w:val="22"/>
              </w:rPr>
              <w:t>Exercise – aerobic, strengthening, aquatic</w:t>
            </w:r>
          </w:p>
        </w:tc>
        <w:tc>
          <w:tcPr>
            <w:tcW w:w="2268" w:type="dxa"/>
          </w:tcPr>
          <w:p w14:paraId="5BF550FE" w14:textId="77777777" w:rsidR="008054B9" w:rsidRPr="00AE0E83" w:rsidRDefault="008054B9" w:rsidP="003071E0">
            <w:pPr>
              <w:spacing w:line="480" w:lineRule="auto"/>
              <w:jc w:val="center"/>
              <w:rPr>
                <w:sz w:val="22"/>
              </w:rPr>
            </w:pPr>
            <w:r w:rsidRPr="00AE0E83">
              <w:rPr>
                <w:sz w:val="22"/>
              </w:rPr>
              <w:t>No recommendation</w:t>
            </w:r>
          </w:p>
        </w:tc>
        <w:tc>
          <w:tcPr>
            <w:tcW w:w="2268" w:type="dxa"/>
          </w:tcPr>
          <w:p w14:paraId="6D310CB1" w14:textId="77777777" w:rsidR="008054B9" w:rsidRPr="00AE0E83" w:rsidRDefault="008054B9" w:rsidP="003071E0">
            <w:pPr>
              <w:spacing w:line="480" w:lineRule="auto"/>
              <w:jc w:val="center"/>
              <w:rPr>
                <w:sz w:val="22"/>
              </w:rPr>
            </w:pPr>
            <w:r w:rsidRPr="00AE0E83">
              <w:rPr>
                <w:sz w:val="22"/>
              </w:rPr>
              <w:sym w:font="Symbol" w:char="F0D6"/>
            </w:r>
            <w:r w:rsidRPr="00AE0E83">
              <w:rPr>
                <w:sz w:val="22"/>
              </w:rPr>
              <w:sym w:font="Symbol" w:char="F0D6"/>
            </w:r>
          </w:p>
        </w:tc>
        <w:tc>
          <w:tcPr>
            <w:tcW w:w="2369" w:type="dxa"/>
          </w:tcPr>
          <w:p w14:paraId="0DC0DC23" w14:textId="77777777" w:rsidR="008054B9" w:rsidRPr="00AE0E83" w:rsidRDefault="008054B9" w:rsidP="003071E0">
            <w:pPr>
              <w:spacing w:line="480" w:lineRule="auto"/>
              <w:jc w:val="center"/>
              <w:rPr>
                <w:sz w:val="22"/>
              </w:rPr>
            </w:pPr>
            <w:r w:rsidRPr="00AE0E83">
              <w:rPr>
                <w:sz w:val="22"/>
              </w:rPr>
              <w:sym w:font="Symbol" w:char="F0D6"/>
            </w:r>
            <w:r w:rsidRPr="00AE0E83">
              <w:rPr>
                <w:sz w:val="22"/>
              </w:rPr>
              <w:sym w:font="Symbol" w:char="F0D6"/>
            </w:r>
          </w:p>
        </w:tc>
      </w:tr>
      <w:tr w:rsidR="008054B9" w:rsidRPr="00AE0E83" w14:paraId="55E6196B" w14:textId="77777777">
        <w:tc>
          <w:tcPr>
            <w:tcW w:w="1951" w:type="dxa"/>
          </w:tcPr>
          <w:p w14:paraId="6F633831" w14:textId="77777777" w:rsidR="008054B9" w:rsidRPr="00AE0E83" w:rsidRDefault="008054B9" w:rsidP="003071E0">
            <w:pPr>
              <w:spacing w:line="480" w:lineRule="auto"/>
              <w:rPr>
                <w:sz w:val="22"/>
              </w:rPr>
            </w:pPr>
            <w:r w:rsidRPr="00AE0E83">
              <w:rPr>
                <w:sz w:val="22"/>
              </w:rPr>
              <w:t>Weight loss if overweight/obese</w:t>
            </w:r>
          </w:p>
        </w:tc>
        <w:tc>
          <w:tcPr>
            <w:tcW w:w="2268" w:type="dxa"/>
          </w:tcPr>
          <w:p w14:paraId="4C6FA2AA" w14:textId="77777777" w:rsidR="008054B9" w:rsidRPr="00AE0E83" w:rsidRDefault="008054B9" w:rsidP="003071E0">
            <w:pPr>
              <w:spacing w:line="480" w:lineRule="auto"/>
              <w:jc w:val="center"/>
              <w:rPr>
                <w:sz w:val="22"/>
              </w:rPr>
            </w:pPr>
            <w:r w:rsidRPr="00AE0E83">
              <w:rPr>
                <w:sz w:val="22"/>
              </w:rPr>
              <w:t>Not applicable</w:t>
            </w:r>
          </w:p>
        </w:tc>
        <w:tc>
          <w:tcPr>
            <w:tcW w:w="2268" w:type="dxa"/>
          </w:tcPr>
          <w:p w14:paraId="71C03F21" w14:textId="77777777" w:rsidR="008054B9" w:rsidRPr="00AE0E83" w:rsidRDefault="008054B9" w:rsidP="003071E0">
            <w:pPr>
              <w:spacing w:line="480" w:lineRule="auto"/>
              <w:jc w:val="center"/>
              <w:rPr>
                <w:sz w:val="22"/>
              </w:rPr>
            </w:pPr>
            <w:r w:rsidRPr="00AE0E83">
              <w:rPr>
                <w:sz w:val="22"/>
              </w:rPr>
              <w:sym w:font="Symbol" w:char="F0D6"/>
            </w:r>
            <w:r w:rsidRPr="00AE0E83">
              <w:rPr>
                <w:sz w:val="22"/>
              </w:rPr>
              <w:sym w:font="Symbol" w:char="F0D6"/>
            </w:r>
          </w:p>
        </w:tc>
        <w:tc>
          <w:tcPr>
            <w:tcW w:w="2369" w:type="dxa"/>
          </w:tcPr>
          <w:p w14:paraId="7742B9FD" w14:textId="77777777" w:rsidR="008054B9" w:rsidRPr="00AE0E83" w:rsidRDefault="008054B9" w:rsidP="003071E0">
            <w:pPr>
              <w:spacing w:line="480" w:lineRule="auto"/>
              <w:jc w:val="center"/>
              <w:rPr>
                <w:sz w:val="22"/>
              </w:rPr>
            </w:pPr>
            <w:r w:rsidRPr="00AE0E83">
              <w:rPr>
                <w:sz w:val="22"/>
              </w:rPr>
              <w:sym w:font="Symbol" w:char="F0D6"/>
            </w:r>
            <w:r w:rsidRPr="00AE0E83">
              <w:rPr>
                <w:sz w:val="22"/>
              </w:rPr>
              <w:sym w:font="Symbol" w:char="F0D6"/>
            </w:r>
          </w:p>
        </w:tc>
      </w:tr>
      <w:tr w:rsidR="008054B9" w:rsidRPr="00AE0E83" w14:paraId="49C7DD1D" w14:textId="77777777">
        <w:tc>
          <w:tcPr>
            <w:tcW w:w="1951" w:type="dxa"/>
          </w:tcPr>
          <w:p w14:paraId="7769F71C" w14:textId="77777777" w:rsidR="008054B9" w:rsidRPr="00AE0E83" w:rsidRDefault="008054B9" w:rsidP="003071E0">
            <w:pPr>
              <w:spacing w:line="480" w:lineRule="auto"/>
              <w:rPr>
                <w:sz w:val="22"/>
              </w:rPr>
            </w:pPr>
            <w:r w:rsidRPr="00AE0E83">
              <w:rPr>
                <w:sz w:val="22"/>
              </w:rPr>
              <w:t>Manual therapy</w:t>
            </w:r>
          </w:p>
        </w:tc>
        <w:tc>
          <w:tcPr>
            <w:tcW w:w="2268" w:type="dxa"/>
          </w:tcPr>
          <w:p w14:paraId="3739D3D3" w14:textId="77777777" w:rsidR="008054B9" w:rsidRPr="00AE0E83" w:rsidRDefault="008054B9" w:rsidP="003071E0">
            <w:pPr>
              <w:spacing w:line="480" w:lineRule="auto"/>
              <w:jc w:val="center"/>
              <w:rPr>
                <w:sz w:val="22"/>
              </w:rPr>
            </w:pPr>
            <w:r w:rsidRPr="00AE0E83">
              <w:rPr>
                <w:sz w:val="22"/>
              </w:rPr>
              <w:t>No recommendation</w:t>
            </w:r>
          </w:p>
        </w:tc>
        <w:tc>
          <w:tcPr>
            <w:tcW w:w="2268" w:type="dxa"/>
          </w:tcPr>
          <w:p w14:paraId="408019CC" w14:textId="77777777" w:rsidR="008054B9" w:rsidRPr="00AE0E83" w:rsidRDefault="008054B9" w:rsidP="003071E0">
            <w:pPr>
              <w:spacing w:line="480" w:lineRule="auto"/>
              <w:jc w:val="center"/>
              <w:rPr>
                <w:sz w:val="22"/>
              </w:rPr>
            </w:pPr>
            <w:r w:rsidRPr="00AE0E83">
              <w:rPr>
                <w:sz w:val="22"/>
              </w:rPr>
              <w:sym w:font="Symbol" w:char="F0D6"/>
            </w:r>
            <w:r w:rsidRPr="00AE0E83">
              <w:rPr>
                <w:sz w:val="22"/>
              </w:rPr>
              <w:t xml:space="preserve"> with exercise</w:t>
            </w:r>
          </w:p>
        </w:tc>
        <w:tc>
          <w:tcPr>
            <w:tcW w:w="2369" w:type="dxa"/>
          </w:tcPr>
          <w:p w14:paraId="0D6A8047" w14:textId="77777777" w:rsidR="008054B9" w:rsidRPr="00AE0E83" w:rsidRDefault="008054B9" w:rsidP="003071E0">
            <w:pPr>
              <w:spacing w:line="480" w:lineRule="auto"/>
              <w:jc w:val="center"/>
              <w:rPr>
                <w:sz w:val="22"/>
              </w:rPr>
            </w:pPr>
            <w:r w:rsidRPr="00AE0E83">
              <w:rPr>
                <w:sz w:val="22"/>
              </w:rPr>
              <w:sym w:font="Symbol" w:char="F0D6"/>
            </w:r>
            <w:r w:rsidRPr="00AE0E83">
              <w:rPr>
                <w:sz w:val="22"/>
              </w:rPr>
              <w:t xml:space="preserve"> with exercise</w:t>
            </w:r>
          </w:p>
        </w:tc>
      </w:tr>
      <w:tr w:rsidR="008054B9" w:rsidRPr="00AE0E83" w14:paraId="52834E96" w14:textId="77777777">
        <w:tc>
          <w:tcPr>
            <w:tcW w:w="1951" w:type="dxa"/>
          </w:tcPr>
          <w:p w14:paraId="137A79A7" w14:textId="77777777" w:rsidR="008054B9" w:rsidRPr="00AE0E83" w:rsidRDefault="008054B9" w:rsidP="003071E0">
            <w:pPr>
              <w:spacing w:line="480" w:lineRule="auto"/>
              <w:rPr>
                <w:sz w:val="22"/>
              </w:rPr>
            </w:pPr>
            <w:r w:rsidRPr="00AE0E83">
              <w:rPr>
                <w:sz w:val="22"/>
              </w:rPr>
              <w:t>Acupuncture*</w:t>
            </w:r>
          </w:p>
        </w:tc>
        <w:tc>
          <w:tcPr>
            <w:tcW w:w="2268" w:type="dxa"/>
          </w:tcPr>
          <w:p w14:paraId="5C99C685" w14:textId="77777777" w:rsidR="008054B9" w:rsidRPr="00AE0E83" w:rsidRDefault="008054B9" w:rsidP="003071E0">
            <w:pPr>
              <w:spacing w:line="480" w:lineRule="auto"/>
              <w:jc w:val="center"/>
              <w:rPr>
                <w:sz w:val="22"/>
              </w:rPr>
            </w:pPr>
            <w:r w:rsidRPr="00AE0E83">
              <w:rPr>
                <w:sz w:val="22"/>
              </w:rPr>
              <w:t>No recommendation</w:t>
            </w:r>
          </w:p>
        </w:tc>
        <w:tc>
          <w:tcPr>
            <w:tcW w:w="2268" w:type="dxa"/>
          </w:tcPr>
          <w:p w14:paraId="1261C7C4"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4C396FD0" w14:textId="77777777" w:rsidR="008054B9" w:rsidRPr="00AE0E83" w:rsidRDefault="008054B9" w:rsidP="003071E0">
            <w:pPr>
              <w:spacing w:line="480" w:lineRule="auto"/>
              <w:jc w:val="center"/>
              <w:rPr>
                <w:sz w:val="22"/>
              </w:rPr>
            </w:pPr>
            <w:r w:rsidRPr="00AE0E83">
              <w:rPr>
                <w:sz w:val="22"/>
              </w:rPr>
              <w:t>No recommendation</w:t>
            </w:r>
          </w:p>
        </w:tc>
      </w:tr>
      <w:tr w:rsidR="008054B9" w:rsidRPr="00AE0E83" w14:paraId="668E339D" w14:textId="77777777">
        <w:tc>
          <w:tcPr>
            <w:tcW w:w="1951" w:type="dxa"/>
          </w:tcPr>
          <w:p w14:paraId="126AAA09" w14:textId="77777777" w:rsidR="008054B9" w:rsidRPr="00AE0E83" w:rsidRDefault="008054B9" w:rsidP="003071E0">
            <w:pPr>
              <w:spacing w:line="480" w:lineRule="auto"/>
              <w:rPr>
                <w:sz w:val="22"/>
              </w:rPr>
            </w:pPr>
            <w:r w:rsidRPr="00AE0E83">
              <w:rPr>
                <w:sz w:val="22"/>
              </w:rPr>
              <w:t>Transcutaneous electrical stimulation*</w:t>
            </w:r>
          </w:p>
        </w:tc>
        <w:tc>
          <w:tcPr>
            <w:tcW w:w="2268" w:type="dxa"/>
          </w:tcPr>
          <w:p w14:paraId="2109D112" w14:textId="77777777" w:rsidR="008054B9" w:rsidRPr="00AE0E83" w:rsidRDefault="008054B9" w:rsidP="003071E0">
            <w:pPr>
              <w:spacing w:line="480" w:lineRule="auto"/>
              <w:jc w:val="center"/>
              <w:rPr>
                <w:sz w:val="22"/>
              </w:rPr>
            </w:pPr>
            <w:r w:rsidRPr="00AE0E83">
              <w:rPr>
                <w:sz w:val="22"/>
              </w:rPr>
              <w:t>No recommendation</w:t>
            </w:r>
          </w:p>
        </w:tc>
        <w:tc>
          <w:tcPr>
            <w:tcW w:w="2268" w:type="dxa"/>
          </w:tcPr>
          <w:p w14:paraId="10A6630D"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5A32B673" w14:textId="77777777" w:rsidR="008054B9" w:rsidRPr="00AE0E83" w:rsidRDefault="008054B9" w:rsidP="003071E0">
            <w:pPr>
              <w:spacing w:line="480" w:lineRule="auto"/>
              <w:jc w:val="center"/>
              <w:rPr>
                <w:sz w:val="22"/>
              </w:rPr>
            </w:pPr>
            <w:r w:rsidRPr="00AE0E83">
              <w:rPr>
                <w:sz w:val="22"/>
              </w:rPr>
              <w:t>No recommendation</w:t>
            </w:r>
          </w:p>
        </w:tc>
      </w:tr>
      <w:tr w:rsidR="008054B9" w:rsidRPr="00AE0E83" w14:paraId="5E97100A" w14:textId="77777777">
        <w:tc>
          <w:tcPr>
            <w:tcW w:w="1951" w:type="dxa"/>
          </w:tcPr>
          <w:p w14:paraId="785F0611" w14:textId="77777777" w:rsidR="008054B9" w:rsidRPr="00AE0E83" w:rsidRDefault="008054B9" w:rsidP="003071E0">
            <w:pPr>
              <w:spacing w:line="480" w:lineRule="auto"/>
              <w:rPr>
                <w:sz w:val="22"/>
              </w:rPr>
            </w:pPr>
            <w:r w:rsidRPr="00AE0E83">
              <w:rPr>
                <w:sz w:val="22"/>
              </w:rPr>
              <w:t>Thermal agents</w:t>
            </w:r>
          </w:p>
        </w:tc>
        <w:tc>
          <w:tcPr>
            <w:tcW w:w="2268" w:type="dxa"/>
          </w:tcPr>
          <w:p w14:paraId="7078B9ED" w14:textId="77777777" w:rsidR="008054B9" w:rsidRPr="00AE0E83" w:rsidRDefault="008054B9" w:rsidP="003071E0">
            <w:pPr>
              <w:spacing w:line="480" w:lineRule="auto"/>
              <w:jc w:val="center"/>
              <w:rPr>
                <w:sz w:val="22"/>
              </w:rPr>
            </w:pPr>
            <w:r w:rsidRPr="00AE0E83">
              <w:rPr>
                <w:sz w:val="22"/>
              </w:rPr>
              <w:sym w:font="Symbol" w:char="F0D6"/>
            </w:r>
          </w:p>
        </w:tc>
        <w:tc>
          <w:tcPr>
            <w:tcW w:w="2268" w:type="dxa"/>
          </w:tcPr>
          <w:p w14:paraId="6281ADC2"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23F3E4A3"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45E9DDB8" w14:textId="77777777">
        <w:tc>
          <w:tcPr>
            <w:tcW w:w="1951" w:type="dxa"/>
          </w:tcPr>
          <w:p w14:paraId="644F2CC4" w14:textId="77777777" w:rsidR="008054B9" w:rsidRPr="00AE0E83" w:rsidRDefault="008054B9" w:rsidP="003071E0">
            <w:pPr>
              <w:spacing w:line="480" w:lineRule="auto"/>
              <w:rPr>
                <w:sz w:val="22"/>
              </w:rPr>
            </w:pPr>
            <w:r w:rsidRPr="00AE0E83">
              <w:rPr>
                <w:sz w:val="22"/>
              </w:rPr>
              <w:t>Psychosocial interventions</w:t>
            </w:r>
          </w:p>
        </w:tc>
        <w:tc>
          <w:tcPr>
            <w:tcW w:w="2268" w:type="dxa"/>
          </w:tcPr>
          <w:p w14:paraId="4C7552F0" w14:textId="77777777" w:rsidR="008054B9" w:rsidRPr="00AE0E83" w:rsidRDefault="008054B9" w:rsidP="003071E0">
            <w:pPr>
              <w:spacing w:line="480" w:lineRule="auto"/>
              <w:jc w:val="center"/>
              <w:rPr>
                <w:sz w:val="22"/>
              </w:rPr>
            </w:pPr>
            <w:r w:rsidRPr="00AE0E83">
              <w:rPr>
                <w:sz w:val="22"/>
              </w:rPr>
              <w:t>No recommendation</w:t>
            </w:r>
          </w:p>
        </w:tc>
        <w:tc>
          <w:tcPr>
            <w:tcW w:w="2268" w:type="dxa"/>
          </w:tcPr>
          <w:p w14:paraId="4BFBA511"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0FF85BE3"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012474BD" w14:textId="77777777">
        <w:tc>
          <w:tcPr>
            <w:tcW w:w="1951" w:type="dxa"/>
          </w:tcPr>
          <w:p w14:paraId="37EBB5E9" w14:textId="77777777" w:rsidR="008054B9" w:rsidRPr="00AE0E83" w:rsidRDefault="008054B9" w:rsidP="003071E0">
            <w:pPr>
              <w:spacing w:line="480" w:lineRule="auto"/>
              <w:rPr>
                <w:sz w:val="22"/>
              </w:rPr>
            </w:pPr>
            <w:r w:rsidRPr="00AE0E83">
              <w:rPr>
                <w:sz w:val="22"/>
              </w:rPr>
              <w:t>Patellar taping</w:t>
            </w:r>
          </w:p>
        </w:tc>
        <w:tc>
          <w:tcPr>
            <w:tcW w:w="2268" w:type="dxa"/>
          </w:tcPr>
          <w:p w14:paraId="68AE6BDB" w14:textId="77777777" w:rsidR="008054B9" w:rsidRPr="00AE0E83" w:rsidRDefault="008054B9" w:rsidP="003071E0">
            <w:pPr>
              <w:spacing w:line="480" w:lineRule="auto"/>
              <w:jc w:val="center"/>
              <w:rPr>
                <w:sz w:val="22"/>
              </w:rPr>
            </w:pPr>
            <w:r w:rsidRPr="00AE0E83">
              <w:rPr>
                <w:sz w:val="22"/>
              </w:rPr>
              <w:t>Not applicable</w:t>
            </w:r>
          </w:p>
        </w:tc>
        <w:tc>
          <w:tcPr>
            <w:tcW w:w="2268" w:type="dxa"/>
          </w:tcPr>
          <w:p w14:paraId="066CA3F4" w14:textId="77777777" w:rsidR="008054B9" w:rsidRPr="00AE0E83" w:rsidRDefault="008054B9" w:rsidP="003071E0">
            <w:pPr>
              <w:spacing w:line="480" w:lineRule="auto"/>
              <w:jc w:val="center"/>
              <w:rPr>
                <w:sz w:val="22"/>
              </w:rPr>
            </w:pPr>
            <w:r w:rsidRPr="00AE0E83">
              <w:rPr>
                <w:sz w:val="22"/>
              </w:rPr>
              <w:sym w:font="Symbol" w:char="F0D6"/>
            </w:r>
            <w:r w:rsidRPr="00AE0E83">
              <w:rPr>
                <w:sz w:val="22"/>
              </w:rPr>
              <w:t xml:space="preserve"> for medially directed</w:t>
            </w:r>
          </w:p>
          <w:p w14:paraId="10DA70A1" w14:textId="77777777" w:rsidR="008054B9" w:rsidRPr="00AE0E83" w:rsidRDefault="008054B9" w:rsidP="003071E0">
            <w:pPr>
              <w:spacing w:line="480" w:lineRule="auto"/>
              <w:jc w:val="center"/>
              <w:rPr>
                <w:sz w:val="22"/>
              </w:rPr>
            </w:pPr>
            <w:r w:rsidRPr="00AE0E83">
              <w:rPr>
                <w:sz w:val="22"/>
              </w:rPr>
              <w:t>No recommendation for laterally directed</w:t>
            </w:r>
          </w:p>
        </w:tc>
        <w:tc>
          <w:tcPr>
            <w:tcW w:w="2369" w:type="dxa"/>
          </w:tcPr>
          <w:p w14:paraId="271F91AE" w14:textId="77777777" w:rsidR="008054B9" w:rsidRPr="00AE0E83" w:rsidRDefault="008054B9" w:rsidP="003071E0">
            <w:pPr>
              <w:spacing w:line="480" w:lineRule="auto"/>
              <w:jc w:val="center"/>
              <w:rPr>
                <w:sz w:val="22"/>
              </w:rPr>
            </w:pPr>
            <w:r w:rsidRPr="00AE0E83">
              <w:rPr>
                <w:sz w:val="22"/>
              </w:rPr>
              <w:t>Not applicable</w:t>
            </w:r>
          </w:p>
        </w:tc>
      </w:tr>
      <w:tr w:rsidR="008054B9" w:rsidRPr="00AE0E83" w14:paraId="3CECF48E" w14:textId="77777777">
        <w:tc>
          <w:tcPr>
            <w:tcW w:w="1951" w:type="dxa"/>
          </w:tcPr>
          <w:p w14:paraId="6E9F36CC" w14:textId="77777777" w:rsidR="008054B9" w:rsidRPr="00AE0E83" w:rsidRDefault="008054B9" w:rsidP="003071E0">
            <w:pPr>
              <w:spacing w:line="480" w:lineRule="auto"/>
              <w:rPr>
                <w:sz w:val="22"/>
              </w:rPr>
            </w:pPr>
            <w:r w:rsidRPr="00AE0E83">
              <w:rPr>
                <w:sz w:val="22"/>
              </w:rPr>
              <w:t>Balance exercises</w:t>
            </w:r>
          </w:p>
        </w:tc>
        <w:tc>
          <w:tcPr>
            <w:tcW w:w="2268" w:type="dxa"/>
          </w:tcPr>
          <w:p w14:paraId="6D061C88" w14:textId="77777777" w:rsidR="008054B9" w:rsidRPr="00AE0E83" w:rsidRDefault="008054B9" w:rsidP="003071E0">
            <w:pPr>
              <w:spacing w:line="480" w:lineRule="auto"/>
              <w:jc w:val="center"/>
              <w:rPr>
                <w:sz w:val="22"/>
              </w:rPr>
            </w:pPr>
            <w:r w:rsidRPr="00AE0E83">
              <w:rPr>
                <w:sz w:val="22"/>
              </w:rPr>
              <w:t xml:space="preserve">Not applicable </w:t>
            </w:r>
          </w:p>
        </w:tc>
        <w:tc>
          <w:tcPr>
            <w:tcW w:w="2268" w:type="dxa"/>
          </w:tcPr>
          <w:p w14:paraId="1E816C7E" w14:textId="77777777" w:rsidR="008054B9" w:rsidRPr="00AE0E83" w:rsidRDefault="008054B9" w:rsidP="003071E0">
            <w:pPr>
              <w:spacing w:line="480" w:lineRule="auto"/>
              <w:jc w:val="center"/>
              <w:rPr>
                <w:sz w:val="22"/>
              </w:rPr>
            </w:pPr>
            <w:r w:rsidRPr="00AE0E83">
              <w:rPr>
                <w:sz w:val="22"/>
              </w:rPr>
              <w:t>No recommendation</w:t>
            </w:r>
          </w:p>
        </w:tc>
        <w:tc>
          <w:tcPr>
            <w:tcW w:w="2369" w:type="dxa"/>
          </w:tcPr>
          <w:p w14:paraId="662BE494" w14:textId="77777777" w:rsidR="008054B9" w:rsidRPr="00AE0E83" w:rsidRDefault="008054B9" w:rsidP="003071E0">
            <w:pPr>
              <w:spacing w:line="480" w:lineRule="auto"/>
              <w:jc w:val="center"/>
              <w:rPr>
                <w:sz w:val="22"/>
              </w:rPr>
            </w:pPr>
            <w:r w:rsidRPr="00AE0E83">
              <w:rPr>
                <w:sz w:val="22"/>
              </w:rPr>
              <w:t>No recommendation</w:t>
            </w:r>
          </w:p>
        </w:tc>
      </w:tr>
      <w:tr w:rsidR="008054B9" w:rsidRPr="00AE0E83" w14:paraId="01481F5A" w14:textId="77777777">
        <w:tc>
          <w:tcPr>
            <w:tcW w:w="1951" w:type="dxa"/>
          </w:tcPr>
          <w:p w14:paraId="696ECFEA" w14:textId="77777777" w:rsidR="008054B9" w:rsidRPr="00AE0E83" w:rsidRDefault="008054B9" w:rsidP="003071E0">
            <w:pPr>
              <w:spacing w:line="480" w:lineRule="auto"/>
              <w:rPr>
                <w:sz w:val="22"/>
              </w:rPr>
            </w:pPr>
            <w:r w:rsidRPr="00AE0E83">
              <w:rPr>
                <w:sz w:val="22"/>
              </w:rPr>
              <w:t>Tai Chi</w:t>
            </w:r>
          </w:p>
        </w:tc>
        <w:tc>
          <w:tcPr>
            <w:tcW w:w="2268" w:type="dxa"/>
          </w:tcPr>
          <w:p w14:paraId="5B2B262A" w14:textId="77777777" w:rsidR="008054B9" w:rsidRPr="00AE0E83" w:rsidRDefault="008054B9" w:rsidP="003071E0">
            <w:pPr>
              <w:spacing w:line="480" w:lineRule="auto"/>
              <w:jc w:val="center"/>
              <w:rPr>
                <w:sz w:val="22"/>
              </w:rPr>
            </w:pPr>
            <w:r w:rsidRPr="00AE0E83">
              <w:rPr>
                <w:sz w:val="22"/>
              </w:rPr>
              <w:t>Not applicable</w:t>
            </w:r>
          </w:p>
        </w:tc>
        <w:tc>
          <w:tcPr>
            <w:tcW w:w="2268" w:type="dxa"/>
          </w:tcPr>
          <w:p w14:paraId="2163F127"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12271B1F" w14:textId="77777777" w:rsidR="008054B9" w:rsidRPr="00AE0E83" w:rsidRDefault="008054B9" w:rsidP="003071E0">
            <w:pPr>
              <w:spacing w:line="480" w:lineRule="auto"/>
              <w:jc w:val="center"/>
              <w:rPr>
                <w:sz w:val="22"/>
              </w:rPr>
            </w:pPr>
            <w:r w:rsidRPr="00AE0E83">
              <w:rPr>
                <w:sz w:val="22"/>
              </w:rPr>
              <w:t>No recommendation</w:t>
            </w:r>
          </w:p>
        </w:tc>
      </w:tr>
      <w:tr w:rsidR="008054B9" w:rsidRPr="00AE0E83" w14:paraId="45258EBA" w14:textId="77777777">
        <w:tc>
          <w:tcPr>
            <w:tcW w:w="1951" w:type="dxa"/>
          </w:tcPr>
          <w:p w14:paraId="46E75DD1" w14:textId="77777777" w:rsidR="008054B9" w:rsidRPr="00AE0E83" w:rsidRDefault="008054B9" w:rsidP="003071E0">
            <w:pPr>
              <w:spacing w:line="480" w:lineRule="auto"/>
              <w:rPr>
                <w:sz w:val="22"/>
              </w:rPr>
            </w:pPr>
            <w:r w:rsidRPr="00AE0E83">
              <w:rPr>
                <w:sz w:val="22"/>
              </w:rPr>
              <w:t>Walking aids or assistive devices</w:t>
            </w:r>
          </w:p>
        </w:tc>
        <w:tc>
          <w:tcPr>
            <w:tcW w:w="2268" w:type="dxa"/>
          </w:tcPr>
          <w:p w14:paraId="3506F584" w14:textId="77777777" w:rsidR="008054B9" w:rsidRPr="00AE0E83" w:rsidRDefault="008054B9" w:rsidP="003071E0">
            <w:pPr>
              <w:spacing w:line="480" w:lineRule="auto"/>
              <w:jc w:val="center"/>
              <w:rPr>
                <w:sz w:val="22"/>
              </w:rPr>
            </w:pPr>
            <w:r w:rsidRPr="00AE0E83">
              <w:rPr>
                <w:sz w:val="22"/>
              </w:rPr>
              <w:sym w:font="Symbol" w:char="F0D6"/>
            </w:r>
          </w:p>
        </w:tc>
        <w:tc>
          <w:tcPr>
            <w:tcW w:w="2268" w:type="dxa"/>
          </w:tcPr>
          <w:p w14:paraId="67059F0B"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5DB35DE2"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65626C12" w14:textId="77777777">
        <w:tc>
          <w:tcPr>
            <w:tcW w:w="1951" w:type="dxa"/>
          </w:tcPr>
          <w:p w14:paraId="4CE1576D" w14:textId="77777777" w:rsidR="008054B9" w:rsidRPr="00AE0E83" w:rsidRDefault="008054B9" w:rsidP="003071E0">
            <w:pPr>
              <w:spacing w:line="480" w:lineRule="auto"/>
              <w:rPr>
                <w:sz w:val="22"/>
              </w:rPr>
            </w:pPr>
            <w:r w:rsidRPr="00AE0E83">
              <w:rPr>
                <w:sz w:val="22"/>
              </w:rPr>
              <w:t>Lateral wedge insoles</w:t>
            </w:r>
          </w:p>
        </w:tc>
        <w:tc>
          <w:tcPr>
            <w:tcW w:w="2268" w:type="dxa"/>
          </w:tcPr>
          <w:p w14:paraId="7BE3D2FA" w14:textId="77777777" w:rsidR="008054B9" w:rsidRPr="00AE0E83" w:rsidRDefault="008054B9" w:rsidP="003071E0">
            <w:pPr>
              <w:spacing w:line="480" w:lineRule="auto"/>
              <w:jc w:val="center"/>
              <w:rPr>
                <w:sz w:val="22"/>
              </w:rPr>
            </w:pPr>
            <w:r w:rsidRPr="00AE0E83">
              <w:rPr>
                <w:sz w:val="22"/>
              </w:rPr>
              <w:t>Not applicable</w:t>
            </w:r>
          </w:p>
        </w:tc>
        <w:tc>
          <w:tcPr>
            <w:tcW w:w="2268" w:type="dxa"/>
          </w:tcPr>
          <w:p w14:paraId="6E21AD9D" w14:textId="77777777" w:rsidR="008054B9" w:rsidRPr="00AE0E83" w:rsidRDefault="008054B9" w:rsidP="003071E0">
            <w:pPr>
              <w:spacing w:line="480" w:lineRule="auto"/>
              <w:jc w:val="center"/>
              <w:rPr>
                <w:sz w:val="22"/>
              </w:rPr>
            </w:pPr>
            <w:r w:rsidRPr="00AE0E83">
              <w:rPr>
                <w:sz w:val="22"/>
              </w:rPr>
              <w:t xml:space="preserve">No recommendation </w:t>
            </w:r>
          </w:p>
          <w:p w14:paraId="1D0E5659" w14:textId="77777777" w:rsidR="008054B9" w:rsidRPr="00AE0E83" w:rsidRDefault="008054B9" w:rsidP="003071E0">
            <w:pPr>
              <w:spacing w:line="480" w:lineRule="auto"/>
              <w:jc w:val="center"/>
              <w:rPr>
                <w:sz w:val="22"/>
              </w:rPr>
            </w:pPr>
            <w:r w:rsidRPr="00AE0E83">
              <w:rPr>
                <w:sz w:val="22"/>
              </w:rPr>
              <w:sym w:font="Symbol" w:char="F0D6"/>
            </w:r>
            <w:r w:rsidRPr="00AE0E83">
              <w:rPr>
                <w:sz w:val="22"/>
              </w:rPr>
              <w:t xml:space="preserve"> if subtalar strapped</w:t>
            </w:r>
          </w:p>
        </w:tc>
        <w:tc>
          <w:tcPr>
            <w:tcW w:w="2369" w:type="dxa"/>
          </w:tcPr>
          <w:p w14:paraId="4A1366FA" w14:textId="77777777" w:rsidR="008054B9" w:rsidRPr="00AE0E83" w:rsidRDefault="008054B9" w:rsidP="003071E0">
            <w:pPr>
              <w:spacing w:line="480" w:lineRule="auto"/>
              <w:jc w:val="center"/>
              <w:rPr>
                <w:sz w:val="22"/>
              </w:rPr>
            </w:pPr>
            <w:r w:rsidRPr="00AE0E83">
              <w:rPr>
                <w:sz w:val="22"/>
              </w:rPr>
              <w:t>Not applicable</w:t>
            </w:r>
          </w:p>
        </w:tc>
      </w:tr>
      <w:tr w:rsidR="008054B9" w:rsidRPr="00AE0E83" w14:paraId="56507BB7" w14:textId="77777777">
        <w:tc>
          <w:tcPr>
            <w:tcW w:w="1951" w:type="dxa"/>
          </w:tcPr>
          <w:p w14:paraId="0BD8D3EC" w14:textId="77777777" w:rsidR="008054B9" w:rsidRPr="00AE0E83" w:rsidRDefault="008054B9" w:rsidP="003071E0">
            <w:pPr>
              <w:spacing w:line="480" w:lineRule="auto"/>
              <w:rPr>
                <w:sz w:val="22"/>
              </w:rPr>
            </w:pPr>
            <w:r w:rsidRPr="00AE0E83">
              <w:rPr>
                <w:sz w:val="22"/>
              </w:rPr>
              <w:t xml:space="preserve">Medial wedge insoles </w:t>
            </w:r>
          </w:p>
        </w:tc>
        <w:tc>
          <w:tcPr>
            <w:tcW w:w="2268" w:type="dxa"/>
          </w:tcPr>
          <w:p w14:paraId="1846AEFF" w14:textId="77777777" w:rsidR="008054B9" w:rsidRPr="00AE0E83" w:rsidRDefault="008054B9" w:rsidP="003071E0">
            <w:pPr>
              <w:spacing w:line="480" w:lineRule="auto"/>
              <w:jc w:val="center"/>
              <w:rPr>
                <w:sz w:val="22"/>
              </w:rPr>
            </w:pPr>
            <w:r w:rsidRPr="00AE0E83">
              <w:rPr>
                <w:sz w:val="22"/>
              </w:rPr>
              <w:t xml:space="preserve">Not applicable </w:t>
            </w:r>
          </w:p>
        </w:tc>
        <w:tc>
          <w:tcPr>
            <w:tcW w:w="2268" w:type="dxa"/>
          </w:tcPr>
          <w:p w14:paraId="6AB43132" w14:textId="77777777" w:rsidR="008054B9" w:rsidRPr="00AE0E83" w:rsidRDefault="008054B9" w:rsidP="003071E0">
            <w:pPr>
              <w:spacing w:line="480" w:lineRule="auto"/>
              <w:jc w:val="center"/>
              <w:rPr>
                <w:sz w:val="22"/>
              </w:rPr>
            </w:pPr>
            <w:r w:rsidRPr="00AE0E83">
              <w:rPr>
                <w:sz w:val="22"/>
              </w:rPr>
              <w:sym w:font="Symbol" w:char="F0D6"/>
            </w:r>
          </w:p>
        </w:tc>
        <w:tc>
          <w:tcPr>
            <w:tcW w:w="2369" w:type="dxa"/>
          </w:tcPr>
          <w:p w14:paraId="1DD02CB9" w14:textId="77777777" w:rsidR="008054B9" w:rsidRPr="00AE0E83" w:rsidRDefault="008054B9" w:rsidP="003071E0">
            <w:pPr>
              <w:spacing w:line="480" w:lineRule="auto"/>
              <w:jc w:val="center"/>
              <w:rPr>
                <w:sz w:val="22"/>
              </w:rPr>
            </w:pPr>
            <w:r w:rsidRPr="00AE0E83">
              <w:rPr>
                <w:sz w:val="22"/>
              </w:rPr>
              <w:t>Not applicable</w:t>
            </w:r>
          </w:p>
        </w:tc>
      </w:tr>
      <w:tr w:rsidR="008054B9" w:rsidRPr="00AE0E83" w14:paraId="3E15C541" w14:textId="77777777">
        <w:tc>
          <w:tcPr>
            <w:tcW w:w="1951" w:type="dxa"/>
          </w:tcPr>
          <w:p w14:paraId="68A6F265" w14:textId="77777777" w:rsidR="008054B9" w:rsidRPr="00AE0E83" w:rsidRDefault="008054B9" w:rsidP="003071E0">
            <w:pPr>
              <w:spacing w:line="480" w:lineRule="auto"/>
              <w:rPr>
                <w:sz w:val="22"/>
              </w:rPr>
            </w:pPr>
            <w:r w:rsidRPr="00AE0E83">
              <w:rPr>
                <w:sz w:val="22"/>
              </w:rPr>
              <w:t>Braces/splints</w:t>
            </w:r>
          </w:p>
        </w:tc>
        <w:tc>
          <w:tcPr>
            <w:tcW w:w="2268" w:type="dxa"/>
          </w:tcPr>
          <w:p w14:paraId="67AE0181" w14:textId="77777777" w:rsidR="008054B9" w:rsidRPr="00AE0E83" w:rsidRDefault="008054B9" w:rsidP="003071E0">
            <w:pPr>
              <w:spacing w:line="480" w:lineRule="auto"/>
              <w:jc w:val="center"/>
              <w:rPr>
                <w:sz w:val="22"/>
              </w:rPr>
            </w:pPr>
            <w:r w:rsidRPr="00AE0E83">
              <w:rPr>
                <w:sz w:val="22"/>
              </w:rPr>
              <w:sym w:font="Symbol" w:char="F0D6"/>
            </w:r>
          </w:p>
        </w:tc>
        <w:tc>
          <w:tcPr>
            <w:tcW w:w="2268" w:type="dxa"/>
          </w:tcPr>
          <w:p w14:paraId="197C9286" w14:textId="77777777" w:rsidR="008054B9" w:rsidRPr="00AE0E83" w:rsidRDefault="008054B9" w:rsidP="003071E0">
            <w:pPr>
              <w:spacing w:line="480" w:lineRule="auto"/>
              <w:jc w:val="center"/>
              <w:rPr>
                <w:sz w:val="22"/>
              </w:rPr>
            </w:pPr>
            <w:r w:rsidRPr="00AE0E83">
              <w:rPr>
                <w:sz w:val="22"/>
              </w:rPr>
              <w:t>No recommendation</w:t>
            </w:r>
          </w:p>
        </w:tc>
        <w:tc>
          <w:tcPr>
            <w:tcW w:w="2369" w:type="dxa"/>
          </w:tcPr>
          <w:p w14:paraId="5B0DDE4B" w14:textId="77777777" w:rsidR="008054B9" w:rsidRPr="00AE0E83" w:rsidRDefault="008054B9" w:rsidP="003071E0">
            <w:pPr>
              <w:spacing w:line="480" w:lineRule="auto"/>
              <w:jc w:val="center"/>
              <w:rPr>
                <w:sz w:val="22"/>
              </w:rPr>
            </w:pPr>
            <w:r w:rsidRPr="00AE0E83">
              <w:rPr>
                <w:sz w:val="22"/>
              </w:rPr>
              <w:t>Not applicable</w:t>
            </w:r>
          </w:p>
        </w:tc>
      </w:tr>
    </w:tbl>
    <w:p w14:paraId="643D1891" w14:textId="77777777" w:rsidR="008054B9" w:rsidRPr="00273A0D" w:rsidRDefault="008054B9" w:rsidP="003071E0">
      <w:pPr>
        <w:spacing w:line="480" w:lineRule="auto"/>
        <w:rPr>
          <w:sz w:val="22"/>
        </w:rPr>
      </w:pPr>
      <w:r w:rsidRPr="00273A0D">
        <w:rPr>
          <w:bCs/>
          <w:sz w:val="20"/>
          <w:szCs w:val="20"/>
        </w:rPr>
        <w:t>* These recommendations are based on the scenario ‘An adult with symptomatic knee OA without cardiovascular co-morbidities, current or past upper GI problems or chronic kidney disease presents to her/his primary care provider for treatment. She/he complains of mild to severe pain in and/or around her knee(s) and has not had an adequate response to either intermittent dosing of over the counter  (OTC) acetaminophen or OTC NSAIDs or OTC nutritional supplements</w:t>
      </w:r>
    </w:p>
    <w:p w14:paraId="16E4573B" w14:textId="77777777" w:rsidR="008054B9" w:rsidRPr="00AE0E83" w:rsidRDefault="008054B9" w:rsidP="003071E0">
      <w:pPr>
        <w:spacing w:line="480" w:lineRule="auto"/>
        <w:rPr>
          <w:sz w:val="22"/>
        </w:rPr>
      </w:pPr>
      <w:r w:rsidRPr="00AE0E83">
        <w:rPr>
          <w:sz w:val="22"/>
        </w:rPr>
        <w:sym w:font="Symbol" w:char="F0D6"/>
      </w:r>
      <w:r w:rsidRPr="00AE0E83">
        <w:rPr>
          <w:sz w:val="22"/>
        </w:rPr>
        <w:t>= conditional recommendation</w:t>
      </w:r>
    </w:p>
    <w:p w14:paraId="50F34321" w14:textId="77777777" w:rsidR="008054B9" w:rsidRPr="00AE0E83" w:rsidRDefault="008054B9" w:rsidP="003071E0">
      <w:pPr>
        <w:spacing w:line="480" w:lineRule="auto"/>
        <w:rPr>
          <w:sz w:val="22"/>
        </w:rPr>
      </w:pPr>
      <w:r w:rsidRPr="00AE0E83">
        <w:rPr>
          <w:sz w:val="22"/>
        </w:rPr>
        <w:sym w:font="Symbol" w:char="F0D6"/>
      </w:r>
      <w:r w:rsidRPr="00AE0E83">
        <w:rPr>
          <w:sz w:val="22"/>
        </w:rPr>
        <w:sym w:font="Symbol" w:char="F0D6"/>
      </w:r>
      <w:r w:rsidRPr="00AE0E83">
        <w:rPr>
          <w:sz w:val="22"/>
        </w:rPr>
        <w:t>=strong recommendation</w:t>
      </w:r>
    </w:p>
    <w:p w14:paraId="1F633AE2" w14:textId="77777777" w:rsidR="008054B9" w:rsidRPr="00AE0E83" w:rsidRDefault="008054B9" w:rsidP="003071E0">
      <w:pPr>
        <w:spacing w:line="480" w:lineRule="auto"/>
        <w:rPr>
          <w:sz w:val="22"/>
        </w:rPr>
      </w:pPr>
    </w:p>
    <w:p w14:paraId="3CD6A72D" w14:textId="77777777" w:rsidR="008054B9" w:rsidRPr="00AE0E83" w:rsidRDefault="008054B9" w:rsidP="003071E0">
      <w:pPr>
        <w:spacing w:line="480" w:lineRule="auto"/>
        <w:rPr>
          <w:sz w:val="22"/>
        </w:rPr>
      </w:pPr>
      <w:r w:rsidRPr="00AE0E83">
        <w:rPr>
          <w:sz w:val="22"/>
        </w:rPr>
        <w:t xml:space="preserve">* Only when the patient with knee OA has chronic moderate to severe pain and is a candidate for total joint </w:t>
      </w:r>
      <w:r>
        <w:rPr>
          <w:sz w:val="22"/>
        </w:rPr>
        <w:t>arthroplasty</w:t>
      </w:r>
      <w:r w:rsidRPr="00AE0E83">
        <w:rPr>
          <w:sz w:val="22"/>
        </w:rPr>
        <w:t xml:space="preserve"> but is unwilling or unable to have surgery</w:t>
      </w:r>
    </w:p>
    <w:p w14:paraId="11D8303C" w14:textId="77777777" w:rsidR="008054B9" w:rsidRPr="00AE0E83" w:rsidRDefault="008054B9" w:rsidP="003071E0">
      <w:pPr>
        <w:spacing w:line="480" w:lineRule="auto"/>
        <w:rPr>
          <w:sz w:val="22"/>
        </w:rPr>
      </w:pPr>
    </w:p>
    <w:p w14:paraId="2DBF1AD5" w14:textId="77777777" w:rsidR="008054B9" w:rsidRPr="00AE0E83" w:rsidRDefault="008054B9" w:rsidP="003071E0">
      <w:pPr>
        <w:spacing w:line="480" w:lineRule="auto"/>
        <w:rPr>
          <w:sz w:val="22"/>
        </w:rPr>
        <w:sectPr w:rsidR="008054B9" w:rsidRPr="00AE0E83">
          <w:pgSz w:w="12240" w:h="15840"/>
          <w:pgMar w:top="1440" w:right="1800" w:bottom="1440" w:left="1800" w:header="708" w:footer="708" w:gutter="0"/>
          <w:cols w:space="708"/>
          <w:docGrid w:linePitch="360"/>
        </w:sectPr>
      </w:pPr>
    </w:p>
    <w:p w14:paraId="1775173A" w14:textId="77777777" w:rsidR="008054B9" w:rsidRPr="00AE0E83" w:rsidRDefault="008054B9" w:rsidP="003071E0">
      <w:pPr>
        <w:spacing w:line="480" w:lineRule="auto"/>
        <w:rPr>
          <w:sz w:val="22"/>
        </w:rPr>
      </w:pPr>
    </w:p>
    <w:p w14:paraId="0208C83E" w14:textId="77777777" w:rsidR="008054B9" w:rsidRPr="00AE0E83" w:rsidRDefault="008054B9" w:rsidP="003071E0">
      <w:pPr>
        <w:spacing w:line="480" w:lineRule="auto"/>
        <w:rPr>
          <w:b/>
          <w:sz w:val="22"/>
        </w:rPr>
      </w:pPr>
      <w:r w:rsidRPr="00AE0E83">
        <w:rPr>
          <w:b/>
          <w:sz w:val="22"/>
        </w:rPr>
        <w:t xml:space="preserve">Table 3.  Summary of </w:t>
      </w:r>
      <w:r w:rsidRPr="00AE0E83">
        <w:rPr>
          <w:b/>
          <w:i/>
          <w:sz w:val="22"/>
        </w:rPr>
        <w:t>initial</w:t>
      </w:r>
      <w:r w:rsidRPr="00AE0E83">
        <w:rPr>
          <w:b/>
          <w:sz w:val="22"/>
        </w:rPr>
        <w:t xml:space="preserve"> pharmacological management options for OA hand, knee and hip based on the American College of Rheumatology Guidelines</w:t>
      </w:r>
      <w:r>
        <w:rPr>
          <w:b/>
          <w:sz w:val="22"/>
        </w:rPr>
        <w:t>.*</w:t>
      </w:r>
      <w:r>
        <w:rPr>
          <w:b/>
          <w:noProof/>
          <w:sz w:val="22"/>
        </w:rPr>
        <w:t>(10)</w:t>
      </w:r>
    </w:p>
    <w:p w14:paraId="25F6A088" w14:textId="77777777" w:rsidR="008054B9" w:rsidRPr="00AE0E83" w:rsidRDefault="008054B9" w:rsidP="003071E0">
      <w:pPr>
        <w:spacing w:line="480" w:lineRule="auto"/>
        <w:rPr>
          <w:b/>
          <w:sz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firstRow="1" w:lastRow="0" w:firstColumn="1" w:lastColumn="0" w:noHBand="0" w:noVBand="0"/>
      </w:tblPr>
      <w:tblGrid>
        <w:gridCol w:w="1951"/>
        <w:gridCol w:w="2552"/>
        <w:gridCol w:w="2139"/>
        <w:gridCol w:w="2214"/>
      </w:tblGrid>
      <w:tr w:rsidR="008054B9" w:rsidRPr="00AE0E83" w14:paraId="49AFF93B" w14:textId="77777777">
        <w:tc>
          <w:tcPr>
            <w:tcW w:w="1951" w:type="dxa"/>
          </w:tcPr>
          <w:p w14:paraId="0179491E" w14:textId="77777777" w:rsidR="008054B9" w:rsidRPr="00AE0E83" w:rsidRDefault="008054B9" w:rsidP="003071E0">
            <w:pPr>
              <w:spacing w:line="480" w:lineRule="auto"/>
              <w:rPr>
                <w:b/>
                <w:sz w:val="22"/>
              </w:rPr>
            </w:pPr>
            <w:r w:rsidRPr="00AE0E83">
              <w:rPr>
                <w:b/>
                <w:sz w:val="22"/>
              </w:rPr>
              <w:t>Pharmaceutical Agent</w:t>
            </w:r>
          </w:p>
        </w:tc>
        <w:tc>
          <w:tcPr>
            <w:tcW w:w="2552" w:type="dxa"/>
          </w:tcPr>
          <w:p w14:paraId="24F6C7DC" w14:textId="77777777" w:rsidR="008054B9" w:rsidRPr="00AE0E83" w:rsidRDefault="008054B9" w:rsidP="003071E0">
            <w:pPr>
              <w:spacing w:line="480" w:lineRule="auto"/>
              <w:jc w:val="center"/>
              <w:rPr>
                <w:b/>
                <w:sz w:val="22"/>
              </w:rPr>
            </w:pPr>
            <w:r w:rsidRPr="00AE0E83">
              <w:rPr>
                <w:b/>
                <w:sz w:val="22"/>
              </w:rPr>
              <w:t>OA Hand</w:t>
            </w:r>
          </w:p>
        </w:tc>
        <w:tc>
          <w:tcPr>
            <w:tcW w:w="2139" w:type="dxa"/>
          </w:tcPr>
          <w:p w14:paraId="2A5E1319" w14:textId="77777777" w:rsidR="008054B9" w:rsidRPr="00AE0E83" w:rsidRDefault="008054B9" w:rsidP="003071E0">
            <w:pPr>
              <w:spacing w:line="480" w:lineRule="auto"/>
              <w:jc w:val="center"/>
              <w:rPr>
                <w:b/>
                <w:sz w:val="22"/>
              </w:rPr>
            </w:pPr>
            <w:r w:rsidRPr="00AE0E83">
              <w:rPr>
                <w:b/>
                <w:sz w:val="22"/>
              </w:rPr>
              <w:t>OA Knee</w:t>
            </w:r>
          </w:p>
        </w:tc>
        <w:tc>
          <w:tcPr>
            <w:tcW w:w="2214" w:type="dxa"/>
          </w:tcPr>
          <w:p w14:paraId="760F72B1" w14:textId="77777777" w:rsidR="008054B9" w:rsidRPr="00AE0E83" w:rsidRDefault="008054B9" w:rsidP="003071E0">
            <w:pPr>
              <w:spacing w:line="480" w:lineRule="auto"/>
              <w:jc w:val="center"/>
              <w:rPr>
                <w:b/>
                <w:sz w:val="22"/>
              </w:rPr>
            </w:pPr>
            <w:r w:rsidRPr="00AE0E83">
              <w:rPr>
                <w:b/>
                <w:sz w:val="22"/>
              </w:rPr>
              <w:t>OA Hip</w:t>
            </w:r>
          </w:p>
        </w:tc>
      </w:tr>
      <w:tr w:rsidR="008054B9" w:rsidRPr="00AE0E83" w14:paraId="786436DD" w14:textId="77777777">
        <w:tc>
          <w:tcPr>
            <w:tcW w:w="1951" w:type="dxa"/>
          </w:tcPr>
          <w:p w14:paraId="7EF93781" w14:textId="77777777" w:rsidR="008054B9" w:rsidRPr="00AE0E83" w:rsidRDefault="008054B9" w:rsidP="003071E0">
            <w:pPr>
              <w:spacing w:line="480" w:lineRule="auto"/>
              <w:rPr>
                <w:sz w:val="22"/>
              </w:rPr>
            </w:pPr>
            <w:r w:rsidRPr="00AE0E83">
              <w:rPr>
                <w:sz w:val="22"/>
              </w:rPr>
              <w:t>Acetaminophen</w:t>
            </w:r>
          </w:p>
        </w:tc>
        <w:tc>
          <w:tcPr>
            <w:tcW w:w="2552" w:type="dxa"/>
          </w:tcPr>
          <w:p w14:paraId="39D33F5B" w14:textId="77777777" w:rsidR="008054B9" w:rsidRPr="00AE0E83" w:rsidRDefault="008054B9" w:rsidP="003071E0">
            <w:pPr>
              <w:spacing w:line="480" w:lineRule="auto"/>
              <w:jc w:val="center"/>
              <w:rPr>
                <w:sz w:val="22"/>
              </w:rPr>
            </w:pPr>
            <w:r w:rsidRPr="00AE0E83">
              <w:rPr>
                <w:sz w:val="22"/>
              </w:rPr>
              <w:t>No recommendation</w:t>
            </w:r>
          </w:p>
        </w:tc>
        <w:tc>
          <w:tcPr>
            <w:tcW w:w="2139" w:type="dxa"/>
          </w:tcPr>
          <w:p w14:paraId="78326AAF" w14:textId="77777777" w:rsidR="008054B9" w:rsidRPr="00AE0E83" w:rsidRDefault="008054B9" w:rsidP="003071E0">
            <w:pPr>
              <w:spacing w:line="480" w:lineRule="auto"/>
              <w:jc w:val="center"/>
              <w:rPr>
                <w:sz w:val="22"/>
              </w:rPr>
            </w:pPr>
            <w:r w:rsidRPr="00AE0E83">
              <w:rPr>
                <w:sz w:val="22"/>
              </w:rPr>
              <w:sym w:font="Symbol" w:char="F0D6"/>
            </w:r>
          </w:p>
        </w:tc>
        <w:tc>
          <w:tcPr>
            <w:tcW w:w="2214" w:type="dxa"/>
          </w:tcPr>
          <w:p w14:paraId="4133B99B"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5AE0707E" w14:textId="77777777">
        <w:tc>
          <w:tcPr>
            <w:tcW w:w="1951" w:type="dxa"/>
          </w:tcPr>
          <w:p w14:paraId="3799A808" w14:textId="77777777" w:rsidR="008054B9" w:rsidRPr="00AE0E83" w:rsidRDefault="008054B9" w:rsidP="003071E0">
            <w:pPr>
              <w:spacing w:line="480" w:lineRule="auto"/>
              <w:rPr>
                <w:sz w:val="22"/>
              </w:rPr>
            </w:pPr>
            <w:r w:rsidRPr="00AE0E83">
              <w:rPr>
                <w:sz w:val="22"/>
              </w:rPr>
              <w:t>Oral NSAIDs</w:t>
            </w:r>
          </w:p>
        </w:tc>
        <w:tc>
          <w:tcPr>
            <w:tcW w:w="2552" w:type="dxa"/>
          </w:tcPr>
          <w:p w14:paraId="1CD01C8A" w14:textId="77777777" w:rsidR="008054B9" w:rsidRPr="00AE0E83" w:rsidRDefault="008054B9" w:rsidP="003071E0">
            <w:pPr>
              <w:spacing w:line="480" w:lineRule="auto"/>
              <w:jc w:val="center"/>
              <w:rPr>
                <w:sz w:val="22"/>
              </w:rPr>
            </w:pPr>
            <w:r w:rsidRPr="00AE0E83">
              <w:rPr>
                <w:sz w:val="22"/>
              </w:rPr>
              <w:sym w:font="Symbol" w:char="F0D6"/>
            </w:r>
            <w:r>
              <w:rPr>
                <w:sz w:val="22"/>
              </w:rPr>
              <w:t>+</w:t>
            </w:r>
          </w:p>
        </w:tc>
        <w:tc>
          <w:tcPr>
            <w:tcW w:w="2139" w:type="dxa"/>
          </w:tcPr>
          <w:p w14:paraId="76E3A79B" w14:textId="77777777" w:rsidR="008054B9" w:rsidRPr="00AE0E83" w:rsidRDefault="008054B9" w:rsidP="003071E0">
            <w:pPr>
              <w:spacing w:line="480" w:lineRule="auto"/>
              <w:jc w:val="center"/>
              <w:rPr>
                <w:sz w:val="22"/>
              </w:rPr>
            </w:pPr>
            <w:r w:rsidRPr="00AE0E83">
              <w:rPr>
                <w:sz w:val="22"/>
              </w:rPr>
              <w:sym w:font="Symbol" w:char="F0D6"/>
            </w:r>
          </w:p>
        </w:tc>
        <w:tc>
          <w:tcPr>
            <w:tcW w:w="2214" w:type="dxa"/>
          </w:tcPr>
          <w:p w14:paraId="16A1DE78"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123A0052" w14:textId="77777777">
        <w:tc>
          <w:tcPr>
            <w:tcW w:w="1951" w:type="dxa"/>
          </w:tcPr>
          <w:p w14:paraId="6F4875E0" w14:textId="77777777" w:rsidR="008054B9" w:rsidRPr="00AE0E83" w:rsidRDefault="008054B9" w:rsidP="003071E0">
            <w:pPr>
              <w:spacing w:line="480" w:lineRule="auto"/>
              <w:rPr>
                <w:sz w:val="22"/>
              </w:rPr>
            </w:pPr>
            <w:r w:rsidRPr="00AE0E83">
              <w:rPr>
                <w:sz w:val="22"/>
              </w:rPr>
              <w:t>Topical NSAIDs</w:t>
            </w:r>
          </w:p>
        </w:tc>
        <w:tc>
          <w:tcPr>
            <w:tcW w:w="2552" w:type="dxa"/>
          </w:tcPr>
          <w:p w14:paraId="49DF05FD" w14:textId="77777777" w:rsidR="008054B9" w:rsidRPr="00AE0E83" w:rsidRDefault="008054B9" w:rsidP="003071E0">
            <w:pPr>
              <w:spacing w:line="480" w:lineRule="auto"/>
              <w:jc w:val="center"/>
              <w:rPr>
                <w:sz w:val="22"/>
              </w:rPr>
            </w:pPr>
            <w:r w:rsidRPr="00AE0E83">
              <w:rPr>
                <w:sz w:val="22"/>
              </w:rPr>
              <w:sym w:font="Symbol" w:char="F0D6"/>
            </w:r>
          </w:p>
        </w:tc>
        <w:tc>
          <w:tcPr>
            <w:tcW w:w="2139" w:type="dxa"/>
          </w:tcPr>
          <w:p w14:paraId="0BF59F3E" w14:textId="77777777" w:rsidR="008054B9" w:rsidRPr="00AE0E83" w:rsidRDefault="008054B9" w:rsidP="003071E0">
            <w:pPr>
              <w:spacing w:line="480" w:lineRule="auto"/>
              <w:jc w:val="center"/>
              <w:rPr>
                <w:sz w:val="22"/>
              </w:rPr>
            </w:pPr>
            <w:r w:rsidRPr="00AE0E83">
              <w:rPr>
                <w:sz w:val="22"/>
              </w:rPr>
              <w:sym w:font="Symbol" w:char="F0D6"/>
            </w:r>
          </w:p>
        </w:tc>
        <w:tc>
          <w:tcPr>
            <w:tcW w:w="2214" w:type="dxa"/>
          </w:tcPr>
          <w:p w14:paraId="68EAC950" w14:textId="77777777" w:rsidR="008054B9" w:rsidRPr="00AE0E83" w:rsidRDefault="008054B9" w:rsidP="003071E0">
            <w:pPr>
              <w:spacing w:line="480" w:lineRule="auto"/>
              <w:jc w:val="center"/>
              <w:rPr>
                <w:sz w:val="22"/>
              </w:rPr>
            </w:pPr>
            <w:r w:rsidRPr="00AE0E83">
              <w:rPr>
                <w:sz w:val="22"/>
              </w:rPr>
              <w:t>No recommendation</w:t>
            </w:r>
          </w:p>
        </w:tc>
      </w:tr>
      <w:tr w:rsidR="008054B9" w:rsidRPr="00AE0E83" w14:paraId="4A8F3264" w14:textId="77777777">
        <w:tc>
          <w:tcPr>
            <w:tcW w:w="1951" w:type="dxa"/>
          </w:tcPr>
          <w:p w14:paraId="562AFFBD" w14:textId="77777777" w:rsidR="008054B9" w:rsidRPr="00AE0E83" w:rsidRDefault="008054B9" w:rsidP="003071E0">
            <w:pPr>
              <w:spacing w:line="480" w:lineRule="auto"/>
              <w:rPr>
                <w:sz w:val="22"/>
              </w:rPr>
            </w:pPr>
            <w:r w:rsidRPr="00AE0E83">
              <w:rPr>
                <w:sz w:val="22"/>
              </w:rPr>
              <w:t>Tramadol</w:t>
            </w:r>
          </w:p>
        </w:tc>
        <w:tc>
          <w:tcPr>
            <w:tcW w:w="2552" w:type="dxa"/>
          </w:tcPr>
          <w:p w14:paraId="4AA1C71B" w14:textId="77777777" w:rsidR="008054B9" w:rsidRPr="00AE0E83" w:rsidRDefault="008054B9" w:rsidP="003071E0">
            <w:pPr>
              <w:spacing w:line="480" w:lineRule="auto"/>
              <w:jc w:val="center"/>
              <w:rPr>
                <w:sz w:val="22"/>
              </w:rPr>
            </w:pPr>
            <w:r w:rsidRPr="00AE0E83">
              <w:rPr>
                <w:sz w:val="22"/>
              </w:rPr>
              <w:sym w:font="Symbol" w:char="F0D6"/>
            </w:r>
          </w:p>
        </w:tc>
        <w:tc>
          <w:tcPr>
            <w:tcW w:w="2139" w:type="dxa"/>
          </w:tcPr>
          <w:p w14:paraId="3B6041A8" w14:textId="77777777" w:rsidR="008054B9" w:rsidRPr="00AE0E83" w:rsidRDefault="008054B9" w:rsidP="003071E0">
            <w:pPr>
              <w:spacing w:line="480" w:lineRule="auto"/>
              <w:jc w:val="center"/>
              <w:rPr>
                <w:sz w:val="22"/>
              </w:rPr>
            </w:pPr>
            <w:r w:rsidRPr="00AE0E83">
              <w:rPr>
                <w:sz w:val="22"/>
              </w:rPr>
              <w:sym w:font="Symbol" w:char="F0D6"/>
            </w:r>
          </w:p>
        </w:tc>
        <w:tc>
          <w:tcPr>
            <w:tcW w:w="2214" w:type="dxa"/>
          </w:tcPr>
          <w:p w14:paraId="76C3A49E"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3C4A8E59" w14:textId="77777777">
        <w:tc>
          <w:tcPr>
            <w:tcW w:w="1951" w:type="dxa"/>
          </w:tcPr>
          <w:p w14:paraId="728CFCDE" w14:textId="77777777" w:rsidR="008054B9" w:rsidRPr="00AE0E83" w:rsidRDefault="008054B9" w:rsidP="003071E0">
            <w:pPr>
              <w:spacing w:line="480" w:lineRule="auto"/>
              <w:rPr>
                <w:sz w:val="22"/>
              </w:rPr>
            </w:pPr>
            <w:r w:rsidRPr="00AE0E83">
              <w:rPr>
                <w:sz w:val="22"/>
              </w:rPr>
              <w:t>Intra-articular Corticosteroid Injections</w:t>
            </w:r>
          </w:p>
        </w:tc>
        <w:tc>
          <w:tcPr>
            <w:tcW w:w="2552" w:type="dxa"/>
          </w:tcPr>
          <w:p w14:paraId="25CDC8FC" w14:textId="77777777" w:rsidR="008054B9" w:rsidRPr="00AE0E83" w:rsidRDefault="008054B9" w:rsidP="003071E0">
            <w:pPr>
              <w:spacing w:line="480" w:lineRule="auto"/>
              <w:jc w:val="center"/>
              <w:rPr>
                <w:sz w:val="22"/>
              </w:rPr>
            </w:pPr>
            <w:r w:rsidRPr="00AE0E83">
              <w:rPr>
                <w:sz w:val="22"/>
              </w:rPr>
              <w:t>x</w:t>
            </w:r>
          </w:p>
        </w:tc>
        <w:tc>
          <w:tcPr>
            <w:tcW w:w="2139" w:type="dxa"/>
          </w:tcPr>
          <w:p w14:paraId="62A43A98" w14:textId="77777777" w:rsidR="008054B9" w:rsidRPr="00AE0E83" w:rsidRDefault="008054B9" w:rsidP="003071E0">
            <w:pPr>
              <w:spacing w:line="480" w:lineRule="auto"/>
              <w:jc w:val="center"/>
              <w:rPr>
                <w:sz w:val="22"/>
              </w:rPr>
            </w:pPr>
            <w:r w:rsidRPr="00AE0E83">
              <w:rPr>
                <w:sz w:val="22"/>
              </w:rPr>
              <w:sym w:font="Symbol" w:char="F0D6"/>
            </w:r>
          </w:p>
        </w:tc>
        <w:tc>
          <w:tcPr>
            <w:tcW w:w="2214" w:type="dxa"/>
          </w:tcPr>
          <w:p w14:paraId="5168CB42" w14:textId="77777777" w:rsidR="008054B9" w:rsidRPr="00AE0E83" w:rsidRDefault="008054B9" w:rsidP="003071E0">
            <w:pPr>
              <w:spacing w:line="480" w:lineRule="auto"/>
              <w:jc w:val="center"/>
              <w:rPr>
                <w:sz w:val="22"/>
              </w:rPr>
            </w:pPr>
            <w:r w:rsidRPr="00AE0E83">
              <w:rPr>
                <w:sz w:val="22"/>
              </w:rPr>
              <w:sym w:font="Symbol" w:char="F0D6"/>
            </w:r>
          </w:p>
        </w:tc>
      </w:tr>
      <w:tr w:rsidR="008054B9" w:rsidRPr="00AE0E83" w14:paraId="76822699" w14:textId="77777777">
        <w:tc>
          <w:tcPr>
            <w:tcW w:w="1951" w:type="dxa"/>
          </w:tcPr>
          <w:p w14:paraId="1343D157" w14:textId="77777777" w:rsidR="008054B9" w:rsidRPr="00AE0E83" w:rsidRDefault="008054B9" w:rsidP="003071E0">
            <w:pPr>
              <w:spacing w:line="480" w:lineRule="auto"/>
              <w:rPr>
                <w:sz w:val="22"/>
              </w:rPr>
            </w:pPr>
            <w:r w:rsidRPr="00AE0E83">
              <w:rPr>
                <w:sz w:val="22"/>
              </w:rPr>
              <w:t>Intra-articular hyaluronates</w:t>
            </w:r>
          </w:p>
        </w:tc>
        <w:tc>
          <w:tcPr>
            <w:tcW w:w="2552" w:type="dxa"/>
          </w:tcPr>
          <w:p w14:paraId="2BC2A463" w14:textId="77777777" w:rsidR="008054B9" w:rsidRPr="00AE0E83" w:rsidRDefault="008054B9" w:rsidP="003071E0">
            <w:pPr>
              <w:spacing w:line="480" w:lineRule="auto"/>
              <w:jc w:val="center"/>
              <w:rPr>
                <w:sz w:val="22"/>
              </w:rPr>
            </w:pPr>
            <w:r w:rsidRPr="00AE0E83">
              <w:rPr>
                <w:sz w:val="22"/>
              </w:rPr>
              <w:t>x</w:t>
            </w:r>
          </w:p>
        </w:tc>
        <w:tc>
          <w:tcPr>
            <w:tcW w:w="2139" w:type="dxa"/>
          </w:tcPr>
          <w:p w14:paraId="65294321" w14:textId="77777777" w:rsidR="008054B9" w:rsidRPr="00AE0E83" w:rsidRDefault="008054B9" w:rsidP="003071E0">
            <w:pPr>
              <w:spacing w:line="480" w:lineRule="auto"/>
              <w:jc w:val="center"/>
              <w:rPr>
                <w:sz w:val="22"/>
              </w:rPr>
            </w:pPr>
            <w:r w:rsidRPr="00AE0E83">
              <w:rPr>
                <w:sz w:val="22"/>
              </w:rPr>
              <w:t>No recommendation</w:t>
            </w:r>
          </w:p>
        </w:tc>
        <w:tc>
          <w:tcPr>
            <w:tcW w:w="2214" w:type="dxa"/>
          </w:tcPr>
          <w:p w14:paraId="7B0128AB" w14:textId="77777777" w:rsidR="008054B9" w:rsidRPr="00AE0E83" w:rsidRDefault="008054B9" w:rsidP="003071E0">
            <w:pPr>
              <w:spacing w:line="480" w:lineRule="auto"/>
              <w:rPr>
                <w:sz w:val="22"/>
              </w:rPr>
            </w:pPr>
            <w:r w:rsidRPr="00AE0E83">
              <w:rPr>
                <w:sz w:val="22"/>
              </w:rPr>
              <w:t>No recommendation</w:t>
            </w:r>
          </w:p>
        </w:tc>
      </w:tr>
      <w:tr w:rsidR="008054B9" w:rsidRPr="00AE0E83" w14:paraId="1544F518" w14:textId="77777777">
        <w:tc>
          <w:tcPr>
            <w:tcW w:w="1951" w:type="dxa"/>
          </w:tcPr>
          <w:p w14:paraId="7A0FACCC" w14:textId="77777777" w:rsidR="008054B9" w:rsidRPr="00AE0E83" w:rsidRDefault="008054B9" w:rsidP="003071E0">
            <w:pPr>
              <w:spacing w:line="480" w:lineRule="auto"/>
              <w:rPr>
                <w:sz w:val="22"/>
              </w:rPr>
            </w:pPr>
            <w:r w:rsidRPr="00AE0E83">
              <w:rPr>
                <w:sz w:val="22"/>
              </w:rPr>
              <w:t>Opioid analgesia</w:t>
            </w:r>
          </w:p>
        </w:tc>
        <w:tc>
          <w:tcPr>
            <w:tcW w:w="2552" w:type="dxa"/>
          </w:tcPr>
          <w:p w14:paraId="4664F9A2" w14:textId="77777777" w:rsidR="008054B9" w:rsidRPr="00AE0E83" w:rsidRDefault="008054B9" w:rsidP="003071E0">
            <w:pPr>
              <w:spacing w:line="480" w:lineRule="auto"/>
              <w:jc w:val="center"/>
              <w:rPr>
                <w:sz w:val="22"/>
              </w:rPr>
            </w:pPr>
            <w:r w:rsidRPr="00AE0E83">
              <w:rPr>
                <w:sz w:val="22"/>
              </w:rPr>
              <w:t>x</w:t>
            </w:r>
          </w:p>
        </w:tc>
        <w:tc>
          <w:tcPr>
            <w:tcW w:w="2139" w:type="dxa"/>
          </w:tcPr>
          <w:p w14:paraId="2AC98881" w14:textId="77777777" w:rsidR="008054B9" w:rsidRPr="00AE0E83" w:rsidRDefault="008054B9" w:rsidP="003071E0">
            <w:pPr>
              <w:spacing w:line="480" w:lineRule="auto"/>
              <w:jc w:val="center"/>
              <w:rPr>
                <w:sz w:val="22"/>
              </w:rPr>
            </w:pPr>
            <w:r w:rsidRPr="00AE0E83">
              <w:rPr>
                <w:sz w:val="22"/>
              </w:rPr>
              <w:t>No recommendation</w:t>
            </w:r>
          </w:p>
        </w:tc>
        <w:tc>
          <w:tcPr>
            <w:tcW w:w="2214" w:type="dxa"/>
          </w:tcPr>
          <w:p w14:paraId="10868FBD" w14:textId="77777777" w:rsidR="008054B9" w:rsidRPr="00AE0E83" w:rsidRDefault="008054B9" w:rsidP="003071E0">
            <w:pPr>
              <w:spacing w:line="480" w:lineRule="auto"/>
              <w:rPr>
                <w:sz w:val="22"/>
              </w:rPr>
            </w:pPr>
            <w:r w:rsidRPr="00AE0E83">
              <w:rPr>
                <w:sz w:val="22"/>
              </w:rPr>
              <w:t>No recommendation</w:t>
            </w:r>
          </w:p>
        </w:tc>
      </w:tr>
      <w:tr w:rsidR="008054B9" w:rsidRPr="00AE0E83" w14:paraId="28643189" w14:textId="77777777">
        <w:tc>
          <w:tcPr>
            <w:tcW w:w="1951" w:type="dxa"/>
          </w:tcPr>
          <w:p w14:paraId="117B4C60" w14:textId="77777777" w:rsidR="008054B9" w:rsidRPr="00AE0E83" w:rsidRDefault="008054B9" w:rsidP="003071E0">
            <w:pPr>
              <w:spacing w:line="480" w:lineRule="auto"/>
              <w:rPr>
                <w:sz w:val="22"/>
              </w:rPr>
            </w:pPr>
            <w:r w:rsidRPr="00AE0E83">
              <w:rPr>
                <w:sz w:val="22"/>
              </w:rPr>
              <w:t>Duloxetine</w:t>
            </w:r>
          </w:p>
        </w:tc>
        <w:tc>
          <w:tcPr>
            <w:tcW w:w="2552" w:type="dxa"/>
          </w:tcPr>
          <w:p w14:paraId="422DAA42" w14:textId="77777777" w:rsidR="008054B9" w:rsidRPr="00AE0E83" w:rsidRDefault="008054B9" w:rsidP="003071E0">
            <w:pPr>
              <w:spacing w:line="480" w:lineRule="auto"/>
              <w:jc w:val="center"/>
              <w:rPr>
                <w:sz w:val="22"/>
              </w:rPr>
            </w:pPr>
            <w:r w:rsidRPr="00AE0E83">
              <w:rPr>
                <w:sz w:val="22"/>
              </w:rPr>
              <w:t>No Recommendation</w:t>
            </w:r>
          </w:p>
        </w:tc>
        <w:tc>
          <w:tcPr>
            <w:tcW w:w="2139" w:type="dxa"/>
          </w:tcPr>
          <w:p w14:paraId="6CE98655" w14:textId="77777777" w:rsidR="008054B9" w:rsidRPr="00AE0E83" w:rsidRDefault="008054B9" w:rsidP="003071E0">
            <w:pPr>
              <w:spacing w:line="480" w:lineRule="auto"/>
              <w:jc w:val="center"/>
              <w:rPr>
                <w:sz w:val="22"/>
              </w:rPr>
            </w:pPr>
            <w:r w:rsidRPr="00AE0E83">
              <w:rPr>
                <w:sz w:val="22"/>
              </w:rPr>
              <w:t>No recommendation</w:t>
            </w:r>
          </w:p>
        </w:tc>
        <w:tc>
          <w:tcPr>
            <w:tcW w:w="2214" w:type="dxa"/>
          </w:tcPr>
          <w:p w14:paraId="55D35B58" w14:textId="77777777" w:rsidR="008054B9" w:rsidRPr="00AE0E83" w:rsidRDefault="008054B9" w:rsidP="003071E0">
            <w:pPr>
              <w:spacing w:line="480" w:lineRule="auto"/>
              <w:rPr>
                <w:sz w:val="22"/>
              </w:rPr>
            </w:pPr>
            <w:r w:rsidRPr="00AE0E83">
              <w:rPr>
                <w:sz w:val="22"/>
              </w:rPr>
              <w:t>No recommendation</w:t>
            </w:r>
          </w:p>
        </w:tc>
      </w:tr>
      <w:tr w:rsidR="008054B9" w:rsidRPr="00AE0E83" w14:paraId="03C32FC5" w14:textId="77777777">
        <w:tc>
          <w:tcPr>
            <w:tcW w:w="1951" w:type="dxa"/>
          </w:tcPr>
          <w:p w14:paraId="26CD2432" w14:textId="77777777" w:rsidR="008054B9" w:rsidRPr="00AE0E83" w:rsidRDefault="008054B9" w:rsidP="003071E0">
            <w:pPr>
              <w:spacing w:line="480" w:lineRule="auto"/>
              <w:rPr>
                <w:sz w:val="22"/>
              </w:rPr>
            </w:pPr>
            <w:r w:rsidRPr="00AE0E83">
              <w:rPr>
                <w:sz w:val="22"/>
              </w:rPr>
              <w:t>Glucosamine</w:t>
            </w:r>
          </w:p>
        </w:tc>
        <w:tc>
          <w:tcPr>
            <w:tcW w:w="2552" w:type="dxa"/>
          </w:tcPr>
          <w:p w14:paraId="26F25A52" w14:textId="77777777" w:rsidR="008054B9" w:rsidRPr="00AE0E83" w:rsidRDefault="008054B9" w:rsidP="003071E0">
            <w:pPr>
              <w:spacing w:line="480" w:lineRule="auto"/>
              <w:jc w:val="center"/>
              <w:rPr>
                <w:sz w:val="22"/>
              </w:rPr>
            </w:pPr>
            <w:r w:rsidRPr="00AE0E83">
              <w:rPr>
                <w:sz w:val="22"/>
              </w:rPr>
              <w:t>No Recommendation</w:t>
            </w:r>
          </w:p>
        </w:tc>
        <w:tc>
          <w:tcPr>
            <w:tcW w:w="2139" w:type="dxa"/>
          </w:tcPr>
          <w:p w14:paraId="3A7FD28F" w14:textId="77777777" w:rsidR="008054B9" w:rsidRPr="00AE0E83" w:rsidRDefault="008054B9" w:rsidP="003071E0">
            <w:pPr>
              <w:spacing w:line="480" w:lineRule="auto"/>
              <w:jc w:val="center"/>
              <w:rPr>
                <w:sz w:val="22"/>
              </w:rPr>
            </w:pPr>
            <w:r w:rsidRPr="00AE0E83">
              <w:rPr>
                <w:sz w:val="22"/>
              </w:rPr>
              <w:t>x</w:t>
            </w:r>
          </w:p>
        </w:tc>
        <w:tc>
          <w:tcPr>
            <w:tcW w:w="2214" w:type="dxa"/>
          </w:tcPr>
          <w:p w14:paraId="54BD7876" w14:textId="77777777" w:rsidR="008054B9" w:rsidRPr="00AE0E83" w:rsidRDefault="008054B9" w:rsidP="003071E0">
            <w:pPr>
              <w:spacing w:line="480" w:lineRule="auto"/>
              <w:jc w:val="center"/>
              <w:rPr>
                <w:sz w:val="22"/>
              </w:rPr>
            </w:pPr>
            <w:r w:rsidRPr="00AE0E83">
              <w:rPr>
                <w:sz w:val="22"/>
              </w:rPr>
              <w:t>x</w:t>
            </w:r>
          </w:p>
        </w:tc>
      </w:tr>
      <w:tr w:rsidR="008054B9" w:rsidRPr="00AE0E83" w14:paraId="09E3848D" w14:textId="77777777">
        <w:tc>
          <w:tcPr>
            <w:tcW w:w="1951" w:type="dxa"/>
          </w:tcPr>
          <w:p w14:paraId="720C576E" w14:textId="77777777" w:rsidR="008054B9" w:rsidRPr="00AE0E83" w:rsidRDefault="008054B9" w:rsidP="003071E0">
            <w:pPr>
              <w:spacing w:line="480" w:lineRule="auto"/>
              <w:rPr>
                <w:sz w:val="22"/>
              </w:rPr>
            </w:pPr>
            <w:r w:rsidRPr="00AE0E83">
              <w:rPr>
                <w:sz w:val="22"/>
              </w:rPr>
              <w:t>Chrondroit</w:t>
            </w:r>
            <w:r>
              <w:rPr>
                <w:sz w:val="22"/>
              </w:rPr>
              <w:t>i</w:t>
            </w:r>
            <w:r w:rsidRPr="00AE0E83">
              <w:rPr>
                <w:sz w:val="22"/>
              </w:rPr>
              <w:t>n sulphate</w:t>
            </w:r>
          </w:p>
        </w:tc>
        <w:tc>
          <w:tcPr>
            <w:tcW w:w="2552" w:type="dxa"/>
          </w:tcPr>
          <w:p w14:paraId="5E830002" w14:textId="77777777" w:rsidR="008054B9" w:rsidRPr="00AE0E83" w:rsidRDefault="008054B9" w:rsidP="003071E0">
            <w:pPr>
              <w:spacing w:line="480" w:lineRule="auto"/>
              <w:jc w:val="center"/>
              <w:rPr>
                <w:sz w:val="22"/>
              </w:rPr>
            </w:pPr>
            <w:r w:rsidRPr="00AE0E83">
              <w:rPr>
                <w:sz w:val="22"/>
              </w:rPr>
              <w:t>No recommendation</w:t>
            </w:r>
          </w:p>
        </w:tc>
        <w:tc>
          <w:tcPr>
            <w:tcW w:w="2139" w:type="dxa"/>
          </w:tcPr>
          <w:p w14:paraId="62A4400A" w14:textId="77777777" w:rsidR="008054B9" w:rsidRPr="00AE0E83" w:rsidRDefault="008054B9" w:rsidP="003071E0">
            <w:pPr>
              <w:spacing w:line="480" w:lineRule="auto"/>
              <w:jc w:val="center"/>
              <w:rPr>
                <w:sz w:val="22"/>
              </w:rPr>
            </w:pPr>
            <w:r w:rsidRPr="00AE0E83">
              <w:rPr>
                <w:sz w:val="22"/>
              </w:rPr>
              <w:t>x</w:t>
            </w:r>
          </w:p>
        </w:tc>
        <w:tc>
          <w:tcPr>
            <w:tcW w:w="2214" w:type="dxa"/>
          </w:tcPr>
          <w:p w14:paraId="5239AE60" w14:textId="77777777" w:rsidR="008054B9" w:rsidRPr="00AE0E83" w:rsidRDefault="008054B9" w:rsidP="003071E0">
            <w:pPr>
              <w:spacing w:line="480" w:lineRule="auto"/>
              <w:jc w:val="center"/>
              <w:rPr>
                <w:sz w:val="22"/>
              </w:rPr>
            </w:pPr>
            <w:r w:rsidRPr="00AE0E83">
              <w:rPr>
                <w:sz w:val="22"/>
              </w:rPr>
              <w:t>x</w:t>
            </w:r>
          </w:p>
        </w:tc>
      </w:tr>
    </w:tbl>
    <w:p w14:paraId="7860C95F" w14:textId="77777777" w:rsidR="008054B9" w:rsidRPr="00273A0D" w:rsidRDefault="008054B9" w:rsidP="003071E0">
      <w:pPr>
        <w:spacing w:line="480" w:lineRule="auto"/>
        <w:rPr>
          <w:sz w:val="22"/>
        </w:rPr>
      </w:pPr>
      <w:r w:rsidRPr="00273A0D">
        <w:rPr>
          <w:bCs/>
          <w:sz w:val="20"/>
          <w:szCs w:val="20"/>
        </w:rPr>
        <w:t>* These recommendations are based on the scenario ‘An adult with symptomatic knee OA without cardiovascular co-morbidities, current or past upper GI problems or chronic kidney disease presents to her/his primary care provider for treatment. She/he complains of mild to severe pain in and/or around her knee(s) and has not had an adequate response to either intermittent dosing of over the counter  (OTC) acetaminophen or OTC NSAIDs or OTC nutritional supplements</w:t>
      </w:r>
    </w:p>
    <w:p w14:paraId="341A2B89" w14:textId="77777777" w:rsidR="008054B9" w:rsidRPr="00273A0D" w:rsidRDefault="008054B9" w:rsidP="003071E0">
      <w:pPr>
        <w:spacing w:line="480" w:lineRule="auto"/>
        <w:rPr>
          <w:sz w:val="22"/>
        </w:rPr>
        <w:sectPr w:rsidR="008054B9" w:rsidRPr="00273A0D">
          <w:pgSz w:w="12240" w:h="15840"/>
          <w:pgMar w:top="1440" w:right="1800" w:bottom="1440" w:left="1800" w:header="708" w:footer="708" w:gutter="0"/>
          <w:cols w:space="708"/>
          <w:docGrid w:linePitch="360"/>
        </w:sectPr>
      </w:pPr>
      <w:r w:rsidRPr="00273A0D">
        <w:rPr>
          <w:sz w:val="22"/>
        </w:rPr>
        <w:t>+ In peopl</w:t>
      </w:r>
      <w:r>
        <w:rPr>
          <w:sz w:val="22"/>
        </w:rPr>
        <w:t xml:space="preserve">e over 75 years topical NSAIDs </w:t>
      </w:r>
      <w:r w:rsidRPr="00273A0D">
        <w:rPr>
          <w:sz w:val="22"/>
        </w:rPr>
        <w:t>rather than oral NSAIDs are recommended</w:t>
      </w:r>
    </w:p>
    <w:p w14:paraId="6B050181" w14:textId="77777777" w:rsidR="008054B9" w:rsidRPr="00AE0E83" w:rsidRDefault="008054B9" w:rsidP="003071E0">
      <w:pPr>
        <w:spacing w:line="480" w:lineRule="auto"/>
        <w:rPr>
          <w:b/>
          <w:sz w:val="22"/>
        </w:rPr>
      </w:pPr>
    </w:p>
    <w:p w14:paraId="3A17B0CB" w14:textId="77777777" w:rsidR="008054B9" w:rsidRPr="00AE0E83" w:rsidRDefault="008054B9" w:rsidP="003071E0">
      <w:pPr>
        <w:spacing w:line="480" w:lineRule="auto"/>
        <w:rPr>
          <w:b/>
          <w:sz w:val="22"/>
        </w:rPr>
      </w:pPr>
      <w:r w:rsidRPr="00AE0E83">
        <w:rPr>
          <w:b/>
          <w:sz w:val="22"/>
        </w:rPr>
        <w:t>Table 4.   Chronic Care Models: Key components for providing clinical management for established OA and preventive care for those at risk</w:t>
      </w:r>
      <w:r>
        <w:rPr>
          <w:b/>
          <w:sz w:val="22"/>
        </w:rPr>
        <w:t>.*</w:t>
      </w:r>
      <w:r w:rsidRPr="00AE0E83">
        <w:rPr>
          <w:b/>
          <w:sz w:val="22"/>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firstRow="1" w:lastRow="0" w:firstColumn="1" w:lastColumn="0" w:noHBand="0" w:noVBand="0"/>
      </w:tblPr>
      <w:tblGrid>
        <w:gridCol w:w="3775"/>
        <w:gridCol w:w="5395"/>
        <w:gridCol w:w="4006"/>
      </w:tblGrid>
      <w:tr w:rsidR="008054B9" w:rsidRPr="00AE0E83" w14:paraId="0EDBD8B6" w14:textId="77777777">
        <w:tc>
          <w:tcPr>
            <w:tcW w:w="0" w:type="auto"/>
          </w:tcPr>
          <w:p w14:paraId="39E62A32" w14:textId="77777777" w:rsidR="008054B9" w:rsidRPr="00AE0E83" w:rsidRDefault="008054B9" w:rsidP="003071E0">
            <w:pPr>
              <w:spacing w:line="480" w:lineRule="auto"/>
              <w:jc w:val="center"/>
              <w:rPr>
                <w:b/>
                <w:sz w:val="22"/>
              </w:rPr>
            </w:pPr>
            <w:r w:rsidRPr="00AE0E83">
              <w:rPr>
                <w:b/>
                <w:sz w:val="22"/>
              </w:rPr>
              <w:t>OA chronic care model components</w:t>
            </w:r>
          </w:p>
        </w:tc>
        <w:tc>
          <w:tcPr>
            <w:tcW w:w="0" w:type="auto"/>
          </w:tcPr>
          <w:p w14:paraId="4DEDA0D2" w14:textId="77777777" w:rsidR="008054B9" w:rsidRPr="00AE0E83" w:rsidRDefault="008054B9" w:rsidP="003071E0">
            <w:pPr>
              <w:spacing w:line="480" w:lineRule="auto"/>
              <w:ind w:left="360"/>
              <w:jc w:val="center"/>
              <w:rPr>
                <w:b/>
                <w:sz w:val="22"/>
              </w:rPr>
            </w:pPr>
            <w:r w:rsidRPr="00AE0E83">
              <w:rPr>
                <w:b/>
                <w:sz w:val="22"/>
              </w:rPr>
              <w:t>Clinical management</w:t>
            </w:r>
          </w:p>
        </w:tc>
        <w:tc>
          <w:tcPr>
            <w:tcW w:w="0" w:type="auto"/>
          </w:tcPr>
          <w:p w14:paraId="303F7E45" w14:textId="77777777" w:rsidR="008054B9" w:rsidRPr="00AE0E83" w:rsidRDefault="008054B9" w:rsidP="003071E0">
            <w:pPr>
              <w:spacing w:line="480" w:lineRule="auto"/>
              <w:ind w:left="360"/>
              <w:jc w:val="center"/>
              <w:rPr>
                <w:b/>
                <w:sz w:val="22"/>
              </w:rPr>
            </w:pPr>
            <w:r w:rsidRPr="00AE0E83">
              <w:rPr>
                <w:b/>
                <w:sz w:val="22"/>
              </w:rPr>
              <w:t>Preventive management</w:t>
            </w:r>
          </w:p>
        </w:tc>
      </w:tr>
      <w:tr w:rsidR="008054B9" w:rsidRPr="00AE0E83" w14:paraId="3CC826A8" w14:textId="77777777">
        <w:tc>
          <w:tcPr>
            <w:tcW w:w="0" w:type="auto"/>
          </w:tcPr>
          <w:p w14:paraId="23158813" w14:textId="77777777" w:rsidR="008054B9" w:rsidRPr="00AE0E83" w:rsidRDefault="008054B9" w:rsidP="003071E0">
            <w:pPr>
              <w:spacing w:line="480" w:lineRule="auto"/>
              <w:rPr>
                <w:b/>
                <w:i/>
                <w:sz w:val="22"/>
              </w:rPr>
            </w:pPr>
            <w:r w:rsidRPr="00AE0E83">
              <w:rPr>
                <w:b/>
                <w:i/>
                <w:sz w:val="22"/>
              </w:rPr>
              <w:t>Organisation of care</w:t>
            </w:r>
          </w:p>
          <w:p w14:paraId="0C11FF19" w14:textId="77777777" w:rsidR="008054B9" w:rsidRPr="00AE0E83" w:rsidRDefault="008054B9" w:rsidP="003071E0">
            <w:pPr>
              <w:numPr>
                <w:ilvl w:val="0"/>
                <w:numId w:val="17"/>
              </w:numPr>
              <w:spacing w:line="480" w:lineRule="auto"/>
              <w:rPr>
                <w:sz w:val="22"/>
              </w:rPr>
            </w:pPr>
          </w:p>
        </w:tc>
        <w:tc>
          <w:tcPr>
            <w:tcW w:w="0" w:type="auto"/>
          </w:tcPr>
          <w:p w14:paraId="29740C6B" w14:textId="77777777" w:rsidR="008054B9" w:rsidRPr="00AE0E83" w:rsidRDefault="008054B9" w:rsidP="003071E0">
            <w:pPr>
              <w:numPr>
                <w:ilvl w:val="0"/>
                <w:numId w:val="7"/>
              </w:numPr>
              <w:spacing w:line="480" w:lineRule="auto"/>
              <w:rPr>
                <w:sz w:val="22"/>
              </w:rPr>
            </w:pPr>
            <w:r w:rsidRPr="00AE0E83">
              <w:rPr>
                <w:sz w:val="22"/>
              </w:rPr>
              <w:t>Chronic illness is a key goal of practices and organisation</w:t>
            </w:r>
          </w:p>
          <w:p w14:paraId="640D3066" w14:textId="77777777" w:rsidR="008054B9" w:rsidRPr="00AE0E83" w:rsidRDefault="008054B9" w:rsidP="003071E0">
            <w:pPr>
              <w:numPr>
                <w:ilvl w:val="0"/>
                <w:numId w:val="7"/>
              </w:numPr>
              <w:spacing w:line="480" w:lineRule="auto"/>
              <w:rPr>
                <w:sz w:val="22"/>
              </w:rPr>
            </w:pPr>
            <w:r w:rsidRPr="00AE0E83">
              <w:rPr>
                <w:sz w:val="22"/>
              </w:rPr>
              <w:t xml:space="preserve">Leaders are committed and actively engaged in supporting change and developing strategies for </w:t>
            </w:r>
            <w:r>
              <w:rPr>
                <w:sz w:val="22"/>
              </w:rPr>
              <w:t>health care provider</w:t>
            </w:r>
            <w:r w:rsidRPr="00AE0E83">
              <w:rPr>
                <w:sz w:val="22"/>
              </w:rPr>
              <w:t xml:space="preserve">s and </w:t>
            </w:r>
            <w:r>
              <w:rPr>
                <w:sz w:val="22"/>
              </w:rPr>
              <w:t>patient</w:t>
            </w:r>
            <w:r w:rsidRPr="00AE0E83">
              <w:rPr>
                <w:sz w:val="22"/>
              </w:rPr>
              <w:t>s to take up evidence based interventions to improve care</w:t>
            </w:r>
          </w:p>
        </w:tc>
        <w:tc>
          <w:tcPr>
            <w:tcW w:w="0" w:type="auto"/>
          </w:tcPr>
          <w:p w14:paraId="6906967D" w14:textId="77777777" w:rsidR="008054B9" w:rsidRPr="00AE0E83" w:rsidRDefault="008054B9" w:rsidP="003071E0">
            <w:pPr>
              <w:numPr>
                <w:ilvl w:val="0"/>
                <w:numId w:val="7"/>
              </w:numPr>
              <w:spacing w:line="480" w:lineRule="auto"/>
              <w:rPr>
                <w:sz w:val="22"/>
              </w:rPr>
            </w:pPr>
            <w:r w:rsidRPr="00AE0E83">
              <w:rPr>
                <w:sz w:val="22"/>
              </w:rPr>
              <w:t xml:space="preserve">Leaders are actively engaged in advocating for social, economic and environmental improvements to improve care and in supporting </w:t>
            </w:r>
            <w:r>
              <w:rPr>
                <w:sz w:val="22"/>
              </w:rPr>
              <w:t>patient</w:t>
            </w:r>
            <w:r w:rsidRPr="00AE0E83">
              <w:rPr>
                <w:sz w:val="22"/>
              </w:rPr>
              <w:t>s to address lifestyle behavioural risk factors</w:t>
            </w:r>
          </w:p>
        </w:tc>
      </w:tr>
      <w:tr w:rsidR="008054B9" w:rsidRPr="00AE0E83" w14:paraId="72870876" w14:textId="77777777">
        <w:tc>
          <w:tcPr>
            <w:tcW w:w="0" w:type="auto"/>
          </w:tcPr>
          <w:p w14:paraId="657FCE6D" w14:textId="77777777" w:rsidR="008054B9" w:rsidRPr="00AE0E83" w:rsidRDefault="008054B9" w:rsidP="003071E0">
            <w:pPr>
              <w:spacing w:line="480" w:lineRule="auto"/>
              <w:rPr>
                <w:b/>
                <w:i/>
                <w:sz w:val="22"/>
              </w:rPr>
            </w:pPr>
            <w:r w:rsidRPr="00AE0E83">
              <w:rPr>
                <w:b/>
                <w:i/>
                <w:sz w:val="22"/>
              </w:rPr>
              <w:t>Delivery System Design</w:t>
            </w:r>
          </w:p>
          <w:p w14:paraId="731F0BCE" w14:textId="77777777" w:rsidR="008054B9" w:rsidRPr="00AE0E83" w:rsidRDefault="008054B9" w:rsidP="003071E0">
            <w:pPr>
              <w:numPr>
                <w:ilvl w:val="0"/>
                <w:numId w:val="12"/>
              </w:numPr>
              <w:spacing w:line="480" w:lineRule="auto"/>
              <w:rPr>
                <w:sz w:val="22"/>
              </w:rPr>
            </w:pPr>
            <w:r w:rsidRPr="00AE0E83">
              <w:rPr>
                <w:sz w:val="22"/>
              </w:rPr>
              <w:t xml:space="preserve">designing service components to meet the needs of </w:t>
            </w:r>
            <w:r>
              <w:rPr>
                <w:sz w:val="22"/>
              </w:rPr>
              <w:t>patient</w:t>
            </w:r>
            <w:r w:rsidRPr="00AE0E83">
              <w:rPr>
                <w:sz w:val="22"/>
              </w:rPr>
              <w:t>s with chronic conditions and support health care providers in their roles.</w:t>
            </w:r>
          </w:p>
          <w:p w14:paraId="0914C05F" w14:textId="77777777" w:rsidR="008054B9" w:rsidRPr="00AE0E83" w:rsidRDefault="008054B9" w:rsidP="003071E0">
            <w:pPr>
              <w:numPr>
                <w:ilvl w:val="0"/>
                <w:numId w:val="12"/>
              </w:numPr>
              <w:spacing w:line="480" w:lineRule="auto"/>
              <w:rPr>
                <w:sz w:val="22"/>
              </w:rPr>
            </w:pPr>
            <w:r w:rsidRPr="00AE0E83">
              <w:rPr>
                <w:sz w:val="22"/>
              </w:rPr>
              <w:t xml:space="preserve">Who is on the team and how do they interact with </w:t>
            </w:r>
            <w:r>
              <w:rPr>
                <w:sz w:val="22"/>
              </w:rPr>
              <w:t>patient</w:t>
            </w:r>
            <w:r w:rsidRPr="00AE0E83">
              <w:rPr>
                <w:sz w:val="22"/>
              </w:rPr>
              <w:t>s</w:t>
            </w:r>
          </w:p>
        </w:tc>
        <w:tc>
          <w:tcPr>
            <w:tcW w:w="0" w:type="auto"/>
          </w:tcPr>
          <w:p w14:paraId="7C24AA97" w14:textId="77777777" w:rsidR="008054B9" w:rsidRPr="00AE0E83" w:rsidRDefault="008054B9" w:rsidP="003071E0">
            <w:pPr>
              <w:numPr>
                <w:ilvl w:val="0"/>
                <w:numId w:val="9"/>
              </w:numPr>
              <w:spacing w:line="480" w:lineRule="auto"/>
              <w:rPr>
                <w:sz w:val="22"/>
              </w:rPr>
            </w:pPr>
            <w:r w:rsidRPr="00AE0E83">
              <w:rPr>
                <w:sz w:val="22"/>
              </w:rPr>
              <w:t xml:space="preserve">Developing teams (within and external to an individual </w:t>
            </w:r>
            <w:r>
              <w:rPr>
                <w:sz w:val="22"/>
              </w:rPr>
              <w:t>health care provider</w:t>
            </w:r>
            <w:r w:rsidRPr="00AE0E83">
              <w:rPr>
                <w:sz w:val="22"/>
              </w:rPr>
              <w:t xml:space="preserve"> practice or organisational setting) and defining roles of team members for delivering different aspects of care, eg goal setting, referrals, medication management, education, support for </w:t>
            </w:r>
            <w:r>
              <w:rPr>
                <w:sz w:val="22"/>
              </w:rPr>
              <w:t>self-management</w:t>
            </w:r>
            <w:r w:rsidRPr="00AE0E83">
              <w:rPr>
                <w:sz w:val="22"/>
              </w:rPr>
              <w:t>, coordination of care).</w:t>
            </w:r>
          </w:p>
          <w:p w14:paraId="25B157E5" w14:textId="77777777" w:rsidR="008054B9" w:rsidRPr="00AE0E83" w:rsidRDefault="008054B9" w:rsidP="003071E0">
            <w:pPr>
              <w:numPr>
                <w:ilvl w:val="0"/>
                <w:numId w:val="11"/>
              </w:numPr>
              <w:spacing w:line="480" w:lineRule="auto"/>
              <w:rPr>
                <w:sz w:val="22"/>
              </w:rPr>
            </w:pPr>
            <w:r w:rsidRPr="00AE0E83">
              <w:rPr>
                <w:sz w:val="22"/>
              </w:rPr>
              <w:t>Structuring planned visits, followup and acute access systems</w:t>
            </w:r>
          </w:p>
        </w:tc>
        <w:tc>
          <w:tcPr>
            <w:tcW w:w="0" w:type="auto"/>
          </w:tcPr>
          <w:p w14:paraId="1F85BB8B" w14:textId="77777777" w:rsidR="008054B9" w:rsidRPr="00AE0E83" w:rsidRDefault="008054B9" w:rsidP="003071E0">
            <w:pPr>
              <w:numPr>
                <w:ilvl w:val="0"/>
                <w:numId w:val="11"/>
              </w:numPr>
              <w:spacing w:line="480" w:lineRule="auto"/>
              <w:rPr>
                <w:sz w:val="22"/>
              </w:rPr>
            </w:pPr>
            <w:r w:rsidRPr="00AE0E83">
              <w:rPr>
                <w:sz w:val="22"/>
              </w:rPr>
              <w:t>Developing teams to screen, advise and coordinate preventive services within and external to the individual practice or organisational setting.</w:t>
            </w:r>
          </w:p>
          <w:p w14:paraId="687884AE" w14:textId="77777777" w:rsidR="008054B9" w:rsidRPr="00AE0E83" w:rsidRDefault="008054B9" w:rsidP="003071E0">
            <w:pPr>
              <w:numPr>
                <w:ilvl w:val="0"/>
                <w:numId w:val="16"/>
              </w:numPr>
              <w:spacing w:line="480" w:lineRule="auto"/>
              <w:rPr>
                <w:sz w:val="22"/>
              </w:rPr>
            </w:pPr>
            <w:r w:rsidRPr="00AE0E83">
              <w:rPr>
                <w:sz w:val="22"/>
              </w:rPr>
              <w:t>Consider group visits, proactive mailings, telephone counseling and emerging electronic social media strategies/options.</w:t>
            </w:r>
          </w:p>
        </w:tc>
      </w:tr>
      <w:tr w:rsidR="008054B9" w:rsidRPr="00AE0E83" w14:paraId="777352D3" w14:textId="77777777">
        <w:tc>
          <w:tcPr>
            <w:tcW w:w="0" w:type="auto"/>
          </w:tcPr>
          <w:p w14:paraId="415C7D5F" w14:textId="77777777" w:rsidR="008054B9" w:rsidRPr="00AE0E83" w:rsidRDefault="008054B9" w:rsidP="003071E0">
            <w:pPr>
              <w:spacing w:line="480" w:lineRule="auto"/>
              <w:rPr>
                <w:b/>
                <w:i/>
                <w:sz w:val="22"/>
              </w:rPr>
            </w:pPr>
            <w:r w:rsidRPr="00AE0E83">
              <w:rPr>
                <w:b/>
                <w:i/>
                <w:sz w:val="22"/>
              </w:rPr>
              <w:t>Clinical Information systems</w:t>
            </w:r>
          </w:p>
          <w:p w14:paraId="14426B93" w14:textId="77777777" w:rsidR="008054B9" w:rsidRPr="00AE0E83" w:rsidRDefault="008054B9" w:rsidP="003071E0">
            <w:pPr>
              <w:numPr>
                <w:ilvl w:val="0"/>
                <w:numId w:val="4"/>
              </w:numPr>
              <w:spacing w:line="480" w:lineRule="auto"/>
              <w:rPr>
                <w:sz w:val="22"/>
              </w:rPr>
            </w:pPr>
            <w:r w:rsidRPr="00AE0E83">
              <w:rPr>
                <w:sz w:val="22"/>
              </w:rPr>
              <w:t>Capturing and using critical information for clinical care</w:t>
            </w:r>
          </w:p>
        </w:tc>
        <w:tc>
          <w:tcPr>
            <w:tcW w:w="0" w:type="auto"/>
          </w:tcPr>
          <w:p w14:paraId="53259382" w14:textId="77777777" w:rsidR="008054B9" w:rsidRPr="00AE0E83" w:rsidRDefault="008054B9" w:rsidP="003071E0">
            <w:pPr>
              <w:numPr>
                <w:ilvl w:val="0"/>
                <w:numId w:val="14"/>
              </w:numPr>
              <w:spacing w:line="480" w:lineRule="auto"/>
              <w:rPr>
                <w:sz w:val="22"/>
              </w:rPr>
            </w:pPr>
            <w:r w:rsidRPr="00AE0E83">
              <w:rPr>
                <w:sz w:val="22"/>
              </w:rPr>
              <w:t>Capture populations with OA, development of individually tailored care plans and reminder systems, can support recall, can provide feedback on performance and patient safety outcomes.</w:t>
            </w:r>
          </w:p>
        </w:tc>
        <w:tc>
          <w:tcPr>
            <w:tcW w:w="0" w:type="auto"/>
          </w:tcPr>
          <w:p w14:paraId="6398C967" w14:textId="77777777" w:rsidR="008054B9" w:rsidRPr="00AE0E83" w:rsidRDefault="008054B9" w:rsidP="003071E0">
            <w:pPr>
              <w:spacing w:line="480" w:lineRule="auto"/>
              <w:ind w:left="360"/>
              <w:rPr>
                <w:sz w:val="22"/>
              </w:rPr>
            </w:pPr>
            <w:r w:rsidRPr="00AE0E83">
              <w:rPr>
                <w:sz w:val="22"/>
              </w:rPr>
              <w:t>Capture populations at risk of OA, provides status summaries on preventive services, prompt planned visits for review and preventive services.</w:t>
            </w:r>
          </w:p>
        </w:tc>
      </w:tr>
      <w:tr w:rsidR="008054B9" w:rsidRPr="00AE0E83" w14:paraId="19AE6E0A" w14:textId="77777777">
        <w:tc>
          <w:tcPr>
            <w:tcW w:w="0" w:type="auto"/>
          </w:tcPr>
          <w:p w14:paraId="1E3D63C3" w14:textId="77777777" w:rsidR="008054B9" w:rsidRPr="00AE0E83" w:rsidRDefault="008054B9" w:rsidP="003071E0">
            <w:pPr>
              <w:spacing w:line="480" w:lineRule="auto"/>
              <w:rPr>
                <w:b/>
                <w:i/>
                <w:sz w:val="22"/>
              </w:rPr>
            </w:pPr>
            <w:r w:rsidRPr="00AE0E83">
              <w:rPr>
                <w:b/>
                <w:i/>
                <w:sz w:val="22"/>
              </w:rPr>
              <w:t>Decision support systems</w:t>
            </w:r>
          </w:p>
          <w:p w14:paraId="3428F41A" w14:textId="77777777" w:rsidR="008054B9" w:rsidRPr="00AE0E83" w:rsidRDefault="008054B9" w:rsidP="003071E0">
            <w:pPr>
              <w:numPr>
                <w:ilvl w:val="0"/>
                <w:numId w:val="14"/>
              </w:numPr>
              <w:spacing w:line="480" w:lineRule="auto"/>
              <w:rPr>
                <w:sz w:val="22"/>
              </w:rPr>
            </w:pPr>
            <w:r w:rsidRPr="00AE0E83">
              <w:rPr>
                <w:sz w:val="22"/>
              </w:rPr>
              <w:t>What is the best care and how can it be provided every time</w:t>
            </w:r>
          </w:p>
          <w:p w14:paraId="22294F21" w14:textId="77777777" w:rsidR="008054B9" w:rsidRPr="00AE0E83" w:rsidRDefault="008054B9" w:rsidP="003071E0">
            <w:pPr>
              <w:numPr>
                <w:ilvl w:val="0"/>
                <w:numId w:val="14"/>
              </w:numPr>
              <w:spacing w:line="480" w:lineRule="auto"/>
              <w:rPr>
                <w:sz w:val="22"/>
              </w:rPr>
            </w:pPr>
            <w:r w:rsidRPr="00AE0E83">
              <w:rPr>
                <w:sz w:val="22"/>
              </w:rPr>
              <w:t xml:space="preserve">Integration of evidence based recommendations about condition management at the point of care delivery for </w:t>
            </w:r>
            <w:r>
              <w:rPr>
                <w:sz w:val="22"/>
              </w:rPr>
              <w:t>health care provider</w:t>
            </w:r>
            <w:r w:rsidRPr="00AE0E83">
              <w:rPr>
                <w:sz w:val="22"/>
              </w:rPr>
              <w:t xml:space="preserve">s and </w:t>
            </w:r>
            <w:r>
              <w:rPr>
                <w:sz w:val="22"/>
              </w:rPr>
              <w:t>patient</w:t>
            </w:r>
            <w:r w:rsidRPr="00AE0E83">
              <w:rPr>
                <w:sz w:val="22"/>
              </w:rPr>
              <w:t>s</w:t>
            </w:r>
          </w:p>
        </w:tc>
        <w:tc>
          <w:tcPr>
            <w:tcW w:w="0" w:type="auto"/>
          </w:tcPr>
          <w:p w14:paraId="25CD7BFB" w14:textId="77777777" w:rsidR="008054B9" w:rsidRPr="00AE0E83" w:rsidRDefault="008054B9" w:rsidP="003071E0">
            <w:pPr>
              <w:numPr>
                <w:ilvl w:val="0"/>
                <w:numId w:val="12"/>
              </w:numPr>
              <w:spacing w:line="480" w:lineRule="auto"/>
              <w:rPr>
                <w:sz w:val="22"/>
              </w:rPr>
            </w:pPr>
            <w:r w:rsidRPr="00AE0E83">
              <w:rPr>
                <w:sz w:val="22"/>
              </w:rPr>
              <w:t xml:space="preserve">Delivers up to date information about effective non-pharmacological and pharmacological interventions and medication interactions for </w:t>
            </w:r>
            <w:r>
              <w:rPr>
                <w:sz w:val="22"/>
              </w:rPr>
              <w:t>health care provider</w:t>
            </w:r>
            <w:r w:rsidRPr="00AE0E83">
              <w:rPr>
                <w:sz w:val="22"/>
              </w:rPr>
              <w:t>s.</w:t>
            </w:r>
          </w:p>
          <w:p w14:paraId="571A219A" w14:textId="77777777" w:rsidR="008054B9" w:rsidRPr="00AE0E83" w:rsidRDefault="008054B9" w:rsidP="003071E0">
            <w:pPr>
              <w:numPr>
                <w:ilvl w:val="0"/>
                <w:numId w:val="12"/>
              </w:numPr>
              <w:spacing w:line="480" w:lineRule="auto"/>
              <w:rPr>
                <w:sz w:val="22"/>
              </w:rPr>
            </w:pPr>
            <w:r w:rsidRPr="00AE0E83">
              <w:rPr>
                <w:sz w:val="22"/>
              </w:rPr>
              <w:t xml:space="preserve">Delivers decision aids for </w:t>
            </w:r>
            <w:r>
              <w:rPr>
                <w:sz w:val="22"/>
              </w:rPr>
              <w:t>patient</w:t>
            </w:r>
            <w:r w:rsidRPr="00AE0E83">
              <w:rPr>
                <w:sz w:val="22"/>
              </w:rPr>
              <w:t>s to support shared decision making about therapeutic interventions.</w:t>
            </w:r>
          </w:p>
        </w:tc>
        <w:tc>
          <w:tcPr>
            <w:tcW w:w="0" w:type="auto"/>
          </w:tcPr>
          <w:p w14:paraId="2087ED7C" w14:textId="77777777" w:rsidR="008054B9" w:rsidRPr="00AE0E83" w:rsidRDefault="008054B9" w:rsidP="003071E0">
            <w:pPr>
              <w:spacing w:line="480" w:lineRule="auto"/>
              <w:rPr>
                <w:sz w:val="22"/>
              </w:rPr>
            </w:pPr>
            <w:r w:rsidRPr="00AE0E83">
              <w:rPr>
                <w:sz w:val="22"/>
              </w:rPr>
              <w:t xml:space="preserve">Delivers up to date information for </w:t>
            </w:r>
            <w:r>
              <w:rPr>
                <w:sz w:val="22"/>
              </w:rPr>
              <w:t>health care provider</w:t>
            </w:r>
            <w:r w:rsidRPr="00AE0E83">
              <w:rPr>
                <w:sz w:val="22"/>
              </w:rPr>
              <w:t xml:space="preserve">s and </w:t>
            </w:r>
            <w:r>
              <w:rPr>
                <w:sz w:val="22"/>
              </w:rPr>
              <w:t>patient</w:t>
            </w:r>
            <w:r w:rsidRPr="00AE0E83">
              <w:rPr>
                <w:sz w:val="22"/>
              </w:rPr>
              <w:t>s about effective preventive strategies to maintain a healthy lifestyle and reduce the risk of OA and other chronic conditions.</w:t>
            </w:r>
          </w:p>
        </w:tc>
      </w:tr>
      <w:tr w:rsidR="008054B9" w:rsidRPr="00AE0E83" w14:paraId="51CFE6A6" w14:textId="77777777">
        <w:tc>
          <w:tcPr>
            <w:tcW w:w="0" w:type="auto"/>
          </w:tcPr>
          <w:p w14:paraId="53C02DC1" w14:textId="77777777" w:rsidR="008054B9" w:rsidRPr="00AE0E83" w:rsidRDefault="008054B9" w:rsidP="003071E0">
            <w:pPr>
              <w:spacing w:line="480" w:lineRule="auto"/>
              <w:rPr>
                <w:b/>
                <w:i/>
                <w:sz w:val="22"/>
              </w:rPr>
            </w:pPr>
            <w:r w:rsidRPr="00AE0E83">
              <w:rPr>
                <w:b/>
                <w:i/>
                <w:sz w:val="22"/>
              </w:rPr>
              <w:t>Self-management support</w:t>
            </w:r>
          </w:p>
          <w:p w14:paraId="0EA820D4" w14:textId="77777777" w:rsidR="008054B9" w:rsidRPr="00AE0E83" w:rsidRDefault="008054B9" w:rsidP="003071E0">
            <w:pPr>
              <w:numPr>
                <w:ilvl w:val="0"/>
                <w:numId w:val="16"/>
              </w:numPr>
              <w:spacing w:line="480" w:lineRule="auto"/>
              <w:rPr>
                <w:sz w:val="22"/>
              </w:rPr>
            </w:pPr>
            <w:r w:rsidRPr="00AE0E83">
              <w:rPr>
                <w:sz w:val="22"/>
              </w:rPr>
              <w:t xml:space="preserve">A focus on the central role of </w:t>
            </w:r>
            <w:r>
              <w:rPr>
                <w:sz w:val="22"/>
              </w:rPr>
              <w:t>patient</w:t>
            </w:r>
            <w:r w:rsidRPr="00AE0E83">
              <w:rPr>
                <w:sz w:val="22"/>
              </w:rPr>
              <w:t>s as self managers of their condition and associated risk factors</w:t>
            </w:r>
          </w:p>
          <w:p w14:paraId="63002514" w14:textId="77777777" w:rsidR="008054B9" w:rsidRPr="00AE0E83" w:rsidRDefault="008054B9" w:rsidP="003071E0">
            <w:pPr>
              <w:spacing w:line="480" w:lineRule="auto"/>
              <w:ind w:left="360"/>
              <w:rPr>
                <w:sz w:val="22"/>
              </w:rPr>
            </w:pPr>
          </w:p>
        </w:tc>
        <w:tc>
          <w:tcPr>
            <w:tcW w:w="0" w:type="auto"/>
          </w:tcPr>
          <w:p w14:paraId="179B55B9" w14:textId="77777777" w:rsidR="008054B9" w:rsidRPr="00AE0E83" w:rsidRDefault="008054B9" w:rsidP="003071E0">
            <w:pPr>
              <w:numPr>
                <w:ilvl w:val="0"/>
                <w:numId w:val="8"/>
              </w:numPr>
              <w:spacing w:line="480" w:lineRule="auto"/>
              <w:rPr>
                <w:sz w:val="22"/>
              </w:rPr>
            </w:pPr>
            <w:r w:rsidRPr="00AE0E83">
              <w:rPr>
                <w:sz w:val="22"/>
              </w:rPr>
              <w:t>How we help people live with their condition</w:t>
            </w:r>
          </w:p>
          <w:p w14:paraId="3D344B6F" w14:textId="77777777" w:rsidR="008054B9" w:rsidRPr="00AE0E83" w:rsidRDefault="008054B9" w:rsidP="003071E0">
            <w:pPr>
              <w:numPr>
                <w:ilvl w:val="0"/>
                <w:numId w:val="8"/>
              </w:numPr>
              <w:spacing w:line="480" w:lineRule="auto"/>
              <w:rPr>
                <w:sz w:val="22"/>
              </w:rPr>
            </w:pPr>
            <w:r w:rsidRPr="00AE0E83">
              <w:rPr>
                <w:sz w:val="22"/>
              </w:rPr>
              <w:t xml:space="preserve">Develop a collaborative model for </w:t>
            </w:r>
            <w:r>
              <w:rPr>
                <w:sz w:val="22"/>
              </w:rPr>
              <w:t>health care provider</w:t>
            </w:r>
            <w:r w:rsidRPr="00AE0E83">
              <w:rPr>
                <w:sz w:val="22"/>
              </w:rPr>
              <w:t>/</w:t>
            </w:r>
            <w:r>
              <w:rPr>
                <w:sz w:val="22"/>
              </w:rPr>
              <w:t>patient</w:t>
            </w:r>
            <w:r w:rsidRPr="00AE0E83">
              <w:rPr>
                <w:sz w:val="22"/>
              </w:rPr>
              <w:t xml:space="preserve"> interaction to define problems, set priorities and goals, identify and manage barriers to achieving those goals.</w:t>
            </w:r>
          </w:p>
          <w:p w14:paraId="1A3EC821" w14:textId="77777777" w:rsidR="008054B9" w:rsidRPr="00AE0E83" w:rsidRDefault="008054B9" w:rsidP="003071E0">
            <w:pPr>
              <w:numPr>
                <w:ilvl w:val="0"/>
                <w:numId w:val="7"/>
              </w:numPr>
              <w:spacing w:line="480" w:lineRule="auto"/>
              <w:rPr>
                <w:sz w:val="22"/>
              </w:rPr>
            </w:pPr>
            <w:r w:rsidRPr="00AE0E83">
              <w:rPr>
                <w:sz w:val="22"/>
              </w:rPr>
              <w:t>Deliver care in a culturally competent manner</w:t>
            </w:r>
          </w:p>
        </w:tc>
        <w:tc>
          <w:tcPr>
            <w:tcW w:w="0" w:type="auto"/>
          </w:tcPr>
          <w:p w14:paraId="7590558E" w14:textId="77777777" w:rsidR="008054B9" w:rsidRPr="00AE0E83" w:rsidRDefault="008054B9" w:rsidP="003071E0">
            <w:pPr>
              <w:numPr>
                <w:ilvl w:val="0"/>
                <w:numId w:val="7"/>
              </w:numPr>
              <w:spacing w:line="480" w:lineRule="auto"/>
              <w:rPr>
                <w:sz w:val="22"/>
              </w:rPr>
            </w:pPr>
            <w:r w:rsidRPr="00AE0E83">
              <w:rPr>
                <w:sz w:val="22"/>
              </w:rPr>
              <w:t xml:space="preserve">Focus on a supportive model that helps </w:t>
            </w:r>
            <w:r>
              <w:rPr>
                <w:sz w:val="22"/>
              </w:rPr>
              <w:t>patient</w:t>
            </w:r>
            <w:r w:rsidRPr="00AE0E83">
              <w:rPr>
                <w:sz w:val="22"/>
              </w:rPr>
              <w:t>s recognize their need for preventive services and take action to access them.</w:t>
            </w:r>
          </w:p>
          <w:p w14:paraId="3D2F11F0" w14:textId="77777777" w:rsidR="008054B9" w:rsidRPr="00AE0E83" w:rsidRDefault="008054B9" w:rsidP="003071E0">
            <w:pPr>
              <w:numPr>
                <w:ilvl w:val="0"/>
                <w:numId w:val="7"/>
              </w:numPr>
              <w:spacing w:line="480" w:lineRule="auto"/>
              <w:rPr>
                <w:sz w:val="22"/>
              </w:rPr>
            </w:pPr>
            <w:r w:rsidRPr="00AE0E83">
              <w:rPr>
                <w:sz w:val="22"/>
              </w:rPr>
              <w:t>Focus on support for sustained behaviour change.</w:t>
            </w:r>
          </w:p>
        </w:tc>
      </w:tr>
      <w:tr w:rsidR="008054B9" w:rsidRPr="00AE0E83" w14:paraId="66CF2CB6" w14:textId="77777777">
        <w:tc>
          <w:tcPr>
            <w:tcW w:w="0" w:type="auto"/>
          </w:tcPr>
          <w:p w14:paraId="2FD04C91" w14:textId="77777777" w:rsidR="008054B9" w:rsidRPr="00AE0E83" w:rsidRDefault="008054B9" w:rsidP="003071E0">
            <w:pPr>
              <w:spacing w:line="480" w:lineRule="auto"/>
              <w:rPr>
                <w:b/>
                <w:i/>
                <w:sz w:val="22"/>
              </w:rPr>
            </w:pPr>
            <w:r w:rsidRPr="00AE0E83">
              <w:rPr>
                <w:b/>
                <w:i/>
                <w:sz w:val="22"/>
              </w:rPr>
              <w:t xml:space="preserve">Community </w:t>
            </w:r>
          </w:p>
          <w:p w14:paraId="65161D7B" w14:textId="77777777" w:rsidR="008054B9" w:rsidRPr="00AE0E83" w:rsidRDefault="008054B9" w:rsidP="003071E0">
            <w:pPr>
              <w:numPr>
                <w:ilvl w:val="0"/>
                <w:numId w:val="18"/>
              </w:numPr>
              <w:spacing w:line="480" w:lineRule="auto"/>
              <w:rPr>
                <w:sz w:val="22"/>
              </w:rPr>
            </w:pPr>
            <w:r w:rsidRPr="00AE0E83">
              <w:rPr>
                <w:sz w:val="22"/>
              </w:rPr>
              <w:t>Resources and policies that influence care delivery</w:t>
            </w:r>
          </w:p>
          <w:p w14:paraId="1C75EA7A" w14:textId="77777777" w:rsidR="008054B9" w:rsidRPr="00AE0E83" w:rsidRDefault="008054B9" w:rsidP="003071E0">
            <w:pPr>
              <w:spacing w:line="480" w:lineRule="auto"/>
              <w:rPr>
                <w:sz w:val="22"/>
              </w:rPr>
            </w:pPr>
          </w:p>
        </w:tc>
        <w:tc>
          <w:tcPr>
            <w:tcW w:w="0" w:type="auto"/>
          </w:tcPr>
          <w:p w14:paraId="72B10849" w14:textId="77777777" w:rsidR="008054B9" w:rsidRPr="00AE0E83" w:rsidRDefault="008054B9" w:rsidP="003071E0">
            <w:pPr>
              <w:numPr>
                <w:ilvl w:val="0"/>
                <w:numId w:val="7"/>
              </w:numPr>
              <w:spacing w:line="480" w:lineRule="auto"/>
              <w:rPr>
                <w:sz w:val="22"/>
              </w:rPr>
            </w:pPr>
            <w:r w:rsidRPr="00AE0E83">
              <w:rPr>
                <w:sz w:val="22"/>
              </w:rPr>
              <w:t>Creation of effective linkages between health care providers and different health care sectors, for example allied health care providers, specialists and hospitals where care is provided for people with severe conditions</w:t>
            </w:r>
          </w:p>
          <w:p w14:paraId="0C97BAAE" w14:textId="77777777" w:rsidR="008054B9" w:rsidRPr="00AE0E83" w:rsidRDefault="008054B9" w:rsidP="003071E0">
            <w:pPr>
              <w:numPr>
                <w:ilvl w:val="0"/>
                <w:numId w:val="7"/>
              </w:numPr>
              <w:spacing w:line="480" w:lineRule="auto"/>
              <w:rPr>
                <w:sz w:val="22"/>
              </w:rPr>
            </w:pPr>
            <w:r w:rsidRPr="00AE0E83">
              <w:rPr>
                <w:sz w:val="22"/>
              </w:rPr>
              <w:t xml:space="preserve">Linkages with community and </w:t>
            </w:r>
            <w:r>
              <w:rPr>
                <w:sz w:val="22"/>
              </w:rPr>
              <w:t>patient</w:t>
            </w:r>
            <w:r w:rsidRPr="00AE0E83">
              <w:rPr>
                <w:sz w:val="22"/>
              </w:rPr>
              <w:t xml:space="preserve"> organisations to support </w:t>
            </w:r>
            <w:r>
              <w:rPr>
                <w:sz w:val="22"/>
              </w:rPr>
              <w:t>patient self-</w:t>
            </w:r>
            <w:r w:rsidRPr="00AE0E83">
              <w:rPr>
                <w:sz w:val="22"/>
              </w:rPr>
              <w:t>management of their condition.</w:t>
            </w:r>
          </w:p>
        </w:tc>
        <w:tc>
          <w:tcPr>
            <w:tcW w:w="0" w:type="auto"/>
          </w:tcPr>
          <w:p w14:paraId="33E156E4" w14:textId="77777777" w:rsidR="008054B9" w:rsidRPr="00AE0E83" w:rsidRDefault="008054B9" w:rsidP="003071E0">
            <w:pPr>
              <w:numPr>
                <w:ilvl w:val="0"/>
                <w:numId w:val="7"/>
              </w:numPr>
              <w:spacing w:line="480" w:lineRule="auto"/>
              <w:rPr>
                <w:sz w:val="22"/>
              </w:rPr>
            </w:pPr>
            <w:r w:rsidRPr="00AE0E83">
              <w:rPr>
                <w:sz w:val="22"/>
              </w:rPr>
              <w:t xml:space="preserve">Focus on linkages to community organisations and </w:t>
            </w:r>
            <w:r>
              <w:rPr>
                <w:sz w:val="22"/>
              </w:rPr>
              <w:t>consumer</w:t>
            </w:r>
            <w:r w:rsidRPr="00AE0E83">
              <w:rPr>
                <w:sz w:val="22"/>
              </w:rPr>
              <w:t xml:space="preserve"> groups for support in preventive care and lifestyle behaviour change</w:t>
            </w:r>
          </w:p>
        </w:tc>
      </w:tr>
    </w:tbl>
    <w:p w14:paraId="34F331B0" w14:textId="77777777" w:rsidR="008054B9" w:rsidRPr="00DF38E9" w:rsidRDefault="008054B9" w:rsidP="003071E0">
      <w:pPr>
        <w:spacing w:line="480" w:lineRule="auto"/>
        <w:rPr>
          <w:sz w:val="22"/>
        </w:rPr>
      </w:pPr>
      <w:r w:rsidRPr="00DF38E9">
        <w:rPr>
          <w:sz w:val="22"/>
        </w:rPr>
        <w:t xml:space="preserve">*adapted from Wagner et al. 1999, Glasgow et al 2001 and Barr et al. 3003. </w:t>
      </w:r>
      <w:r>
        <w:rPr>
          <w:noProof/>
          <w:sz w:val="22"/>
        </w:rPr>
        <w:t>(107, 111, 112)</w:t>
      </w:r>
    </w:p>
    <w:p w14:paraId="70C5F22B" w14:textId="77777777" w:rsidR="008054B9" w:rsidRPr="00AE0E83" w:rsidRDefault="008054B9" w:rsidP="003071E0">
      <w:pPr>
        <w:spacing w:line="480" w:lineRule="auto"/>
        <w:rPr>
          <w:b/>
          <w:sz w:val="22"/>
        </w:rPr>
      </w:pPr>
    </w:p>
    <w:p w14:paraId="74E85587" w14:textId="77777777" w:rsidR="008054B9" w:rsidRDefault="008054B9" w:rsidP="003071E0">
      <w:pPr>
        <w:spacing w:line="480" w:lineRule="auto"/>
        <w:rPr>
          <w:b/>
          <w:sz w:val="22"/>
        </w:rPr>
      </w:pPr>
    </w:p>
    <w:p w14:paraId="10260A44" w14:textId="77777777" w:rsidR="008054B9" w:rsidRDefault="008054B9" w:rsidP="003071E0">
      <w:pPr>
        <w:spacing w:line="480" w:lineRule="auto"/>
        <w:rPr>
          <w:b/>
          <w:sz w:val="22"/>
        </w:rPr>
        <w:sectPr w:rsidR="008054B9">
          <w:pgSz w:w="15840" w:h="12240" w:orient="landscape"/>
          <w:pgMar w:top="1800" w:right="1440" w:bottom="1800" w:left="1440" w:header="708" w:footer="708" w:gutter="0"/>
          <w:cols w:space="708"/>
          <w:docGrid w:linePitch="360"/>
        </w:sectPr>
      </w:pPr>
    </w:p>
    <w:p w14:paraId="1E648DAD" w14:textId="77777777" w:rsidR="008054B9" w:rsidRDefault="008054B9" w:rsidP="003071E0">
      <w:pPr>
        <w:spacing w:line="480" w:lineRule="auto"/>
        <w:rPr>
          <w:b/>
          <w:sz w:val="22"/>
        </w:rPr>
      </w:pPr>
    </w:p>
    <w:p w14:paraId="129BD774" w14:textId="77777777" w:rsidR="008054B9" w:rsidRDefault="008054B9" w:rsidP="003071E0">
      <w:pPr>
        <w:spacing w:line="480" w:lineRule="auto"/>
        <w:rPr>
          <w:b/>
          <w:sz w:val="22"/>
        </w:rPr>
      </w:pPr>
    </w:p>
    <w:p w14:paraId="7FA53A0E" w14:textId="77777777" w:rsidR="008054B9" w:rsidRPr="000B1702" w:rsidRDefault="008054B9" w:rsidP="003071E0">
      <w:pPr>
        <w:spacing w:line="480" w:lineRule="auto"/>
        <w:rPr>
          <w:noProof/>
        </w:rPr>
      </w:pPr>
      <w:bookmarkStart w:id="1" w:name="_ENREF_1"/>
      <w:r w:rsidRPr="00F62B3B">
        <w:rPr>
          <w:b/>
          <w:noProof/>
        </w:rPr>
        <w:t>1.</w:t>
      </w:r>
      <w:r w:rsidRPr="000B1702">
        <w:rPr>
          <w:noProof/>
        </w:rPr>
        <w:tab/>
        <w:t>World Health Organisation (WHO). The global burden of disease 2004 update. Geneva: WHO2008 2008.</w:t>
      </w:r>
      <w:bookmarkEnd w:id="1"/>
    </w:p>
    <w:p w14:paraId="00B11EC8" w14:textId="77777777" w:rsidR="008054B9" w:rsidRPr="000B1702" w:rsidRDefault="008054B9" w:rsidP="003071E0">
      <w:pPr>
        <w:spacing w:line="480" w:lineRule="auto"/>
        <w:rPr>
          <w:noProof/>
        </w:rPr>
      </w:pPr>
      <w:bookmarkStart w:id="2" w:name="_ENREF_2"/>
      <w:r w:rsidRPr="000B1702">
        <w:rPr>
          <w:noProof/>
        </w:rPr>
        <w:t>2.</w:t>
      </w:r>
      <w:r w:rsidRPr="000B1702">
        <w:rPr>
          <w:noProof/>
        </w:rPr>
        <w:tab/>
        <w:t>Institute Of Medicine. Crossing the Quality Chasm: A new health system for the 21st century. The national Academy of Sciences; 2000 [cited 2000 21/2/03]; Available from: http://www.nap.edu/openbook/03090728/html/l.html.</w:t>
      </w:r>
      <w:bookmarkEnd w:id="2"/>
    </w:p>
    <w:p w14:paraId="25F67D27" w14:textId="77777777" w:rsidR="008054B9" w:rsidRPr="000B1702" w:rsidRDefault="008054B9" w:rsidP="003071E0">
      <w:pPr>
        <w:spacing w:line="480" w:lineRule="auto"/>
        <w:rPr>
          <w:noProof/>
        </w:rPr>
      </w:pPr>
      <w:bookmarkStart w:id="3" w:name="_ENREF_3"/>
      <w:r w:rsidRPr="000B1702">
        <w:rPr>
          <w:noProof/>
        </w:rPr>
        <w:t>3.</w:t>
      </w:r>
      <w:r w:rsidRPr="000B1702">
        <w:rPr>
          <w:noProof/>
        </w:rPr>
        <w:tab/>
        <w:t>Hunter DJ. Quality of osteoarthritis care for community-dwelling older adults. Clin Geriatr Med. 2010 Aug;26(3):401-17.</w:t>
      </w:r>
      <w:bookmarkEnd w:id="3"/>
    </w:p>
    <w:p w14:paraId="7C2C183C" w14:textId="77777777" w:rsidR="000B1702" w:rsidRPr="000B1702" w:rsidRDefault="008054B9" w:rsidP="000B1702">
      <w:pPr>
        <w:spacing w:line="480" w:lineRule="auto"/>
        <w:rPr>
          <w:noProof/>
        </w:rPr>
      </w:pPr>
      <w:bookmarkStart w:id="4" w:name="_ENREF_4"/>
      <w:r w:rsidRPr="000B1702">
        <w:rPr>
          <w:noProof/>
        </w:rPr>
        <w:t>4.</w:t>
      </w:r>
      <w:r w:rsidRPr="000B1702">
        <w:rPr>
          <w:noProof/>
        </w:rPr>
        <w:tab/>
        <w:t xml:space="preserve">Hunter DJ, Neogi T, Hochberg MC. Quality of osteoarthritis management and the need for reform in the US. Arthritis care &amp; research. </w:t>
      </w:r>
    </w:p>
    <w:p w14:paraId="42AA9DAF" w14:textId="77777777" w:rsidR="008054B9" w:rsidRPr="000B1702" w:rsidRDefault="008054B9" w:rsidP="003071E0">
      <w:pPr>
        <w:spacing w:line="480" w:lineRule="auto"/>
        <w:rPr>
          <w:noProof/>
        </w:rPr>
      </w:pPr>
      <w:r w:rsidRPr="000B1702">
        <w:rPr>
          <w:noProof/>
        </w:rPr>
        <w:t xml:space="preserve"> 2011 Jan;63(1):31-8.</w:t>
      </w:r>
      <w:bookmarkEnd w:id="4"/>
    </w:p>
    <w:p w14:paraId="267029C1" w14:textId="77777777" w:rsidR="008054B9" w:rsidRPr="000B1702" w:rsidRDefault="008054B9" w:rsidP="003071E0">
      <w:pPr>
        <w:spacing w:line="480" w:lineRule="auto"/>
        <w:rPr>
          <w:noProof/>
        </w:rPr>
      </w:pPr>
      <w:bookmarkStart w:id="5" w:name="_ENREF_5"/>
      <w:r w:rsidRPr="000B1702">
        <w:rPr>
          <w:noProof/>
        </w:rPr>
        <w:t>5.</w:t>
      </w:r>
      <w:r w:rsidRPr="000B1702">
        <w:rPr>
          <w:noProof/>
        </w:rPr>
        <w:tab/>
        <w:t>Dieppe P, Doherty M. Contextualizing osteoarthritis care and the reasons for the gap between evidence and practice. Clin Geriatr Med. 2010 Aug;26(3):419-31.</w:t>
      </w:r>
      <w:bookmarkEnd w:id="5"/>
    </w:p>
    <w:p w14:paraId="37FE8929" w14:textId="77777777" w:rsidR="008054B9" w:rsidRPr="000B1702" w:rsidRDefault="008054B9" w:rsidP="003071E0">
      <w:pPr>
        <w:spacing w:line="480" w:lineRule="auto"/>
        <w:rPr>
          <w:noProof/>
        </w:rPr>
      </w:pPr>
      <w:bookmarkStart w:id="6" w:name="_ENREF_6"/>
      <w:r w:rsidRPr="000B1702">
        <w:rPr>
          <w:noProof/>
        </w:rPr>
        <w:t>6.</w:t>
      </w:r>
      <w:r w:rsidRPr="000B1702">
        <w:rPr>
          <w:noProof/>
        </w:rPr>
        <w:tab/>
        <w:t>Dieppe P. From protocols to principles, from guidelines to toolboxes: aids to good management of osteoarthritis. British Society for Rheumatology. 2001;40:841-2.</w:t>
      </w:r>
      <w:bookmarkEnd w:id="6"/>
    </w:p>
    <w:p w14:paraId="3AE0BEA4" w14:textId="77777777" w:rsidR="008054B9" w:rsidRPr="000B1702" w:rsidRDefault="008054B9" w:rsidP="003071E0">
      <w:pPr>
        <w:spacing w:line="480" w:lineRule="auto"/>
        <w:rPr>
          <w:noProof/>
        </w:rPr>
      </w:pPr>
      <w:bookmarkStart w:id="7" w:name="_ENREF_7"/>
      <w:r w:rsidRPr="000B1702">
        <w:rPr>
          <w:noProof/>
        </w:rPr>
        <w:t>7.</w:t>
      </w:r>
      <w:r w:rsidRPr="000B1702">
        <w:rPr>
          <w:noProof/>
        </w:rPr>
        <w:tab/>
        <w:t>Dieppe P. Osteoarthritis: time to shift the paradigm. BMJ. 1999 May 15, 1999;318(7194):1299-300.</w:t>
      </w:r>
      <w:bookmarkEnd w:id="7"/>
    </w:p>
    <w:p w14:paraId="5AFE5DC3" w14:textId="77777777" w:rsidR="000B1702" w:rsidRPr="000B1702" w:rsidRDefault="008054B9" w:rsidP="000B1702">
      <w:pPr>
        <w:spacing w:line="480" w:lineRule="auto"/>
        <w:rPr>
          <w:noProof/>
        </w:rPr>
      </w:pPr>
      <w:bookmarkStart w:id="8" w:name="_ENREF_8"/>
      <w:r w:rsidRPr="000B1702">
        <w:rPr>
          <w:noProof/>
        </w:rPr>
        <w:t>8.</w:t>
      </w:r>
      <w:r w:rsidRPr="000B1702">
        <w:rPr>
          <w:noProof/>
        </w:rPr>
        <w:tab/>
        <w:t xml:space="preserve">Zhang W, Nuki G, Moskowitz RW, </w:t>
      </w:r>
      <w:r w:rsidR="000B1702">
        <w:rPr>
          <w:noProof/>
        </w:rPr>
        <w:t>et al. ,</w:t>
      </w:r>
      <w:r w:rsidRPr="000B1702">
        <w:rPr>
          <w:noProof/>
        </w:rPr>
        <w:t xml:space="preserve">OARSI recommendations for the management of hip and knee osteoarthritis: part III: Changes in evidence following systematic cumulative update of research published through January 2009. Osteoarthritis and cartilage / OARS, Osteoarthritis Research Society. </w:t>
      </w:r>
    </w:p>
    <w:p w14:paraId="6B5FE6EA" w14:textId="77777777" w:rsidR="008054B9" w:rsidRPr="000B1702" w:rsidRDefault="008054B9" w:rsidP="003071E0">
      <w:pPr>
        <w:spacing w:line="480" w:lineRule="auto"/>
        <w:rPr>
          <w:noProof/>
        </w:rPr>
      </w:pPr>
      <w:r w:rsidRPr="000B1702">
        <w:rPr>
          <w:noProof/>
        </w:rPr>
        <w:t>2010 Apr;18(4):476-99.</w:t>
      </w:r>
      <w:bookmarkEnd w:id="8"/>
    </w:p>
    <w:p w14:paraId="592AA07C" w14:textId="77777777" w:rsidR="008054B9" w:rsidRPr="000B1702" w:rsidRDefault="008054B9" w:rsidP="003071E0">
      <w:pPr>
        <w:spacing w:line="480" w:lineRule="auto"/>
        <w:rPr>
          <w:noProof/>
        </w:rPr>
      </w:pPr>
      <w:bookmarkStart w:id="9" w:name="_ENREF_9"/>
      <w:r w:rsidRPr="000B1702">
        <w:rPr>
          <w:noProof/>
        </w:rPr>
        <w:t>9.</w:t>
      </w:r>
      <w:r w:rsidRPr="000B1702">
        <w:rPr>
          <w:noProof/>
        </w:rPr>
        <w:tab/>
        <w:t>Porcheret M, Jordan K, Croft P. Treatment of knee pain in older adults in primary care: development of an evidence-based model of care. Rheumatology. 2007 Apr;46(4):638-48.</w:t>
      </w:r>
      <w:bookmarkEnd w:id="9"/>
    </w:p>
    <w:p w14:paraId="535B8A17" w14:textId="77777777" w:rsidR="008054B9" w:rsidRPr="000B1702" w:rsidRDefault="008054B9" w:rsidP="003071E0">
      <w:pPr>
        <w:spacing w:line="480" w:lineRule="auto"/>
        <w:rPr>
          <w:noProof/>
        </w:rPr>
      </w:pPr>
      <w:bookmarkStart w:id="10" w:name="_ENREF_10"/>
      <w:r w:rsidRPr="000B1702">
        <w:rPr>
          <w:noProof/>
        </w:rPr>
        <w:t>10.</w:t>
      </w:r>
      <w:r w:rsidRPr="000B1702">
        <w:rPr>
          <w:noProof/>
        </w:rPr>
        <w:tab/>
        <w:t>Hochberg MC, Altman RD, April KT, et al. American College of Rheumatology 2012 recommendations for the use of nonpharmacologic and pharmacologic therapies in osteoarthritis of the hand, hip, and knee. Arthritis Care &amp; Research. 2012 Apr;64(4):455-74.</w:t>
      </w:r>
      <w:bookmarkEnd w:id="10"/>
    </w:p>
    <w:p w14:paraId="79CD7469" w14:textId="77777777" w:rsidR="008054B9" w:rsidRPr="000B1702" w:rsidRDefault="008054B9" w:rsidP="003071E0">
      <w:pPr>
        <w:spacing w:line="480" w:lineRule="auto"/>
        <w:rPr>
          <w:noProof/>
        </w:rPr>
      </w:pPr>
      <w:bookmarkStart w:id="11" w:name="_ENREF_11"/>
      <w:r w:rsidRPr="000B1702">
        <w:rPr>
          <w:noProof/>
        </w:rPr>
        <w:t>11.</w:t>
      </w:r>
      <w:r w:rsidRPr="000B1702">
        <w:rPr>
          <w:noProof/>
        </w:rPr>
        <w:tab/>
        <w:t>Conaghan PG, Dickson J, Grant RL. Care and management of osteoarthritis in adults: summary of NICE guidance. B</w:t>
      </w:r>
      <w:r w:rsidR="000B1702">
        <w:rPr>
          <w:noProof/>
        </w:rPr>
        <w:t xml:space="preserve">MJ. </w:t>
      </w:r>
      <w:r w:rsidRPr="000B1702">
        <w:rPr>
          <w:noProof/>
        </w:rPr>
        <w:t>2008 Mar 1;336(7642):502-3.</w:t>
      </w:r>
      <w:bookmarkEnd w:id="11"/>
    </w:p>
    <w:p w14:paraId="59F7DB1A" w14:textId="77777777" w:rsidR="008054B9" w:rsidRPr="000B1702" w:rsidRDefault="008054B9" w:rsidP="003071E0">
      <w:pPr>
        <w:spacing w:line="480" w:lineRule="auto"/>
        <w:rPr>
          <w:noProof/>
        </w:rPr>
      </w:pPr>
      <w:bookmarkStart w:id="12" w:name="_ENREF_12"/>
      <w:r w:rsidRPr="000B1702">
        <w:rPr>
          <w:noProof/>
        </w:rPr>
        <w:t>12.</w:t>
      </w:r>
      <w:r w:rsidRPr="000B1702">
        <w:rPr>
          <w:noProof/>
        </w:rPr>
        <w:tab/>
        <w:t>The Royal Australian College of General Practitioners (RACGP). Guideline for the non-surgical management of hip and knee osteoarthritis. South Melbourne: RACGP July 2009.</w:t>
      </w:r>
      <w:bookmarkEnd w:id="12"/>
    </w:p>
    <w:p w14:paraId="149D5122" w14:textId="77777777" w:rsidR="008054B9" w:rsidRPr="000B1702" w:rsidRDefault="008054B9" w:rsidP="003071E0">
      <w:pPr>
        <w:spacing w:line="480" w:lineRule="auto"/>
        <w:rPr>
          <w:noProof/>
        </w:rPr>
      </w:pPr>
      <w:bookmarkStart w:id="13" w:name="_ENREF_13"/>
      <w:r w:rsidRPr="000B1702">
        <w:rPr>
          <w:noProof/>
        </w:rPr>
        <w:t>13.</w:t>
      </w:r>
      <w:r w:rsidRPr="000B1702">
        <w:rPr>
          <w:noProof/>
        </w:rPr>
        <w:tab/>
        <w:t>Jencks S, Cuerdon T, Burwen D, et al. Quality of Medical Care Delivered to Medicare Beneficiaries: A Profile at State and National Levels. JAMA. 2000;284(13):1670-6.</w:t>
      </w:r>
      <w:bookmarkEnd w:id="13"/>
    </w:p>
    <w:p w14:paraId="723E5346" w14:textId="77777777" w:rsidR="008054B9" w:rsidRPr="000B1702" w:rsidRDefault="008054B9" w:rsidP="003071E0">
      <w:pPr>
        <w:spacing w:line="480" w:lineRule="auto"/>
        <w:rPr>
          <w:noProof/>
        </w:rPr>
      </w:pPr>
      <w:bookmarkStart w:id="14" w:name="_ENREF_14"/>
      <w:r w:rsidRPr="000B1702">
        <w:rPr>
          <w:noProof/>
        </w:rPr>
        <w:t>14.</w:t>
      </w:r>
      <w:r w:rsidRPr="000B1702">
        <w:rPr>
          <w:noProof/>
        </w:rPr>
        <w:tab/>
        <w:t>McGlynn EA, Asch SM, Adams J, et al. The quality of health care delivered to adults in the United States. New England Journal of Medicine. 2003;348(26):2635-45.</w:t>
      </w:r>
      <w:bookmarkEnd w:id="14"/>
    </w:p>
    <w:p w14:paraId="5C0DA109" w14:textId="77777777" w:rsidR="008054B9" w:rsidRPr="000B1702" w:rsidRDefault="008054B9" w:rsidP="003071E0">
      <w:pPr>
        <w:spacing w:line="480" w:lineRule="auto"/>
        <w:rPr>
          <w:noProof/>
        </w:rPr>
      </w:pPr>
      <w:bookmarkStart w:id="15" w:name="_ENREF_15"/>
      <w:r w:rsidRPr="000B1702">
        <w:rPr>
          <w:noProof/>
        </w:rPr>
        <w:t>15.</w:t>
      </w:r>
      <w:r w:rsidRPr="000B1702">
        <w:rPr>
          <w:noProof/>
        </w:rPr>
        <w:tab/>
        <w:t>Ganz DA, Chang JT, Roth CP,  et al. Quality of osteoarthritis care for community-dwelling older adults. Arthritis and rheumatism. 2006 Apr 15;55(2):241-7.</w:t>
      </w:r>
      <w:bookmarkEnd w:id="15"/>
    </w:p>
    <w:p w14:paraId="11E7B2CF" w14:textId="77777777" w:rsidR="008054B9" w:rsidRPr="000B1702" w:rsidRDefault="008054B9" w:rsidP="003071E0">
      <w:pPr>
        <w:spacing w:line="480" w:lineRule="auto"/>
        <w:rPr>
          <w:noProof/>
        </w:rPr>
      </w:pPr>
      <w:bookmarkStart w:id="16" w:name="_ENREF_16"/>
      <w:r w:rsidRPr="000B1702">
        <w:rPr>
          <w:noProof/>
        </w:rPr>
        <w:t>16.</w:t>
      </w:r>
      <w:r w:rsidRPr="000B1702">
        <w:rPr>
          <w:noProof/>
        </w:rPr>
        <w:tab/>
        <w:t xml:space="preserve">Broadbent J, Maisey S, Holland R, </w:t>
      </w:r>
      <w:r w:rsidR="00A654E1">
        <w:rPr>
          <w:noProof/>
        </w:rPr>
        <w:t>et al</w:t>
      </w:r>
      <w:r w:rsidRPr="000B1702">
        <w:rPr>
          <w:noProof/>
        </w:rPr>
        <w:t>. Recorded quality of primary care for osteoarthritis: an observational study. Br J Gen Pract. 2008 Dec;58(557):839-43.</w:t>
      </w:r>
      <w:bookmarkEnd w:id="16"/>
    </w:p>
    <w:p w14:paraId="00C36F31" w14:textId="77777777" w:rsidR="008054B9" w:rsidRPr="000B1702" w:rsidRDefault="008054B9" w:rsidP="003071E0">
      <w:pPr>
        <w:spacing w:line="480" w:lineRule="auto"/>
        <w:rPr>
          <w:noProof/>
        </w:rPr>
      </w:pPr>
      <w:bookmarkStart w:id="17" w:name="_ENREF_17"/>
      <w:r w:rsidRPr="000B1702">
        <w:rPr>
          <w:noProof/>
        </w:rPr>
        <w:t>17.</w:t>
      </w:r>
      <w:r w:rsidRPr="000B1702">
        <w:rPr>
          <w:noProof/>
        </w:rPr>
        <w:tab/>
        <w:t xml:space="preserve">DeHaan M, Guzman J, Bayley M, </w:t>
      </w:r>
      <w:r w:rsidR="00A654E1">
        <w:rPr>
          <w:noProof/>
        </w:rPr>
        <w:t>et al.</w:t>
      </w:r>
      <w:r w:rsidRPr="000B1702">
        <w:rPr>
          <w:noProof/>
        </w:rPr>
        <w:t xml:space="preserve"> Knee osteoarthritis clinical practice guidelines -- how are we doing? Journal of Rheumatology. 2007;34 (10):2099-105.</w:t>
      </w:r>
      <w:bookmarkEnd w:id="17"/>
    </w:p>
    <w:p w14:paraId="648D62EC" w14:textId="77777777" w:rsidR="008054B9" w:rsidRPr="000B1702" w:rsidRDefault="008054B9" w:rsidP="003071E0">
      <w:pPr>
        <w:spacing w:line="480" w:lineRule="auto"/>
        <w:rPr>
          <w:noProof/>
        </w:rPr>
      </w:pPr>
      <w:bookmarkStart w:id="18" w:name="_ENREF_18"/>
      <w:r w:rsidRPr="000B1702">
        <w:rPr>
          <w:noProof/>
        </w:rPr>
        <w:t>18.</w:t>
      </w:r>
      <w:r w:rsidRPr="000B1702">
        <w:rPr>
          <w:noProof/>
        </w:rPr>
        <w:tab/>
        <w:t>Li LC, Maetzel A, Pencharz JN, et al. Use of mainstream nonpharmacologic treatment by patients with arthritis. Arthritis &amp; Rheumatism. 2004;51(2):203-9.</w:t>
      </w:r>
      <w:bookmarkEnd w:id="18"/>
    </w:p>
    <w:p w14:paraId="1F18D373" w14:textId="77777777" w:rsidR="008054B9" w:rsidRPr="000B1702" w:rsidRDefault="008054B9" w:rsidP="003071E0">
      <w:pPr>
        <w:spacing w:line="480" w:lineRule="auto"/>
        <w:rPr>
          <w:noProof/>
        </w:rPr>
      </w:pPr>
      <w:bookmarkStart w:id="19" w:name="_ENREF_19"/>
      <w:r w:rsidRPr="000B1702">
        <w:rPr>
          <w:noProof/>
        </w:rPr>
        <w:t>19.</w:t>
      </w:r>
      <w:r w:rsidRPr="000B1702">
        <w:rPr>
          <w:noProof/>
        </w:rPr>
        <w:tab/>
        <w:t xml:space="preserve">Li LC, Sayre EC, Kopec JA, </w:t>
      </w:r>
      <w:r w:rsidR="00A654E1">
        <w:rPr>
          <w:noProof/>
        </w:rPr>
        <w:t>et al</w:t>
      </w:r>
      <w:r w:rsidRPr="000B1702">
        <w:rPr>
          <w:noProof/>
        </w:rPr>
        <w:t>. Quality of nonpharmacological care in the community for people with knee and h</w:t>
      </w:r>
      <w:r w:rsidR="00A654E1">
        <w:rPr>
          <w:noProof/>
        </w:rPr>
        <w:t xml:space="preserve">ip osteoarthritis. J Rheumatol. </w:t>
      </w:r>
      <w:r w:rsidRPr="000B1702">
        <w:rPr>
          <w:noProof/>
        </w:rPr>
        <w:t>2011 Oct;38(10):2230-7.</w:t>
      </w:r>
      <w:bookmarkEnd w:id="19"/>
    </w:p>
    <w:p w14:paraId="1674AE4F" w14:textId="77777777" w:rsidR="00A654E1" w:rsidRPr="000B1702" w:rsidRDefault="008054B9" w:rsidP="00A654E1">
      <w:pPr>
        <w:spacing w:line="480" w:lineRule="auto"/>
        <w:rPr>
          <w:noProof/>
        </w:rPr>
      </w:pPr>
      <w:bookmarkStart w:id="20" w:name="_ENREF_20"/>
      <w:r w:rsidRPr="000B1702">
        <w:rPr>
          <w:noProof/>
        </w:rPr>
        <w:t>20.</w:t>
      </w:r>
      <w:r w:rsidRPr="000B1702">
        <w:rPr>
          <w:noProof/>
        </w:rPr>
        <w:tab/>
        <w:t xml:space="preserve">Pencharz JN, MacLean CH. Measuring quality in arthritis care: the Arthritis Foundation's Quality Indicator set for osteoarthritis. Arthritis and rheumatism. </w:t>
      </w:r>
    </w:p>
    <w:p w14:paraId="154FC3C6" w14:textId="77777777" w:rsidR="008054B9" w:rsidRPr="000B1702" w:rsidRDefault="008054B9" w:rsidP="003071E0">
      <w:pPr>
        <w:spacing w:line="480" w:lineRule="auto"/>
        <w:rPr>
          <w:noProof/>
        </w:rPr>
      </w:pPr>
      <w:r w:rsidRPr="000B1702">
        <w:rPr>
          <w:noProof/>
        </w:rPr>
        <w:t xml:space="preserve"> 2004 Aug 15;51(4):538-48.</w:t>
      </w:r>
      <w:bookmarkEnd w:id="20"/>
    </w:p>
    <w:p w14:paraId="301649D0" w14:textId="77777777" w:rsidR="008054B9" w:rsidRPr="000B1702" w:rsidRDefault="008054B9" w:rsidP="003071E0">
      <w:pPr>
        <w:spacing w:line="480" w:lineRule="auto"/>
        <w:rPr>
          <w:noProof/>
        </w:rPr>
      </w:pPr>
      <w:bookmarkStart w:id="21" w:name="_ENREF_21"/>
      <w:r w:rsidRPr="000B1702">
        <w:rPr>
          <w:noProof/>
        </w:rPr>
        <w:t>21.</w:t>
      </w:r>
      <w:r w:rsidRPr="000B1702">
        <w:rPr>
          <w:noProof/>
        </w:rPr>
        <w:tab/>
        <w:t>Suarez-Almazor ME. Unraveling gender and ethnic variation in the utilization of elective procedures: the case of total j</w:t>
      </w:r>
      <w:r w:rsidR="00A654E1">
        <w:rPr>
          <w:noProof/>
        </w:rPr>
        <w:t>oint replacement. Medical care.</w:t>
      </w:r>
      <w:r w:rsidRPr="000B1702">
        <w:rPr>
          <w:noProof/>
        </w:rPr>
        <w:t xml:space="preserve"> 2002 Jun;40(6):447-50.</w:t>
      </w:r>
      <w:bookmarkEnd w:id="21"/>
    </w:p>
    <w:p w14:paraId="621A83F5" w14:textId="77777777" w:rsidR="008054B9" w:rsidRPr="000B1702" w:rsidRDefault="008054B9" w:rsidP="003071E0">
      <w:pPr>
        <w:spacing w:line="480" w:lineRule="auto"/>
        <w:rPr>
          <w:noProof/>
        </w:rPr>
      </w:pPr>
      <w:bookmarkStart w:id="22" w:name="_ENREF_22"/>
      <w:r w:rsidRPr="000B1702">
        <w:rPr>
          <w:noProof/>
        </w:rPr>
        <w:t>22.</w:t>
      </w:r>
      <w:r w:rsidRPr="000B1702">
        <w:rPr>
          <w:noProof/>
        </w:rPr>
        <w:tab/>
        <w:t>Ellis H, Bucholz R. Disparity of care in total hip arthroplasty. Current Opinion in Orthopaedics. 2007;18:2-7.</w:t>
      </w:r>
      <w:bookmarkEnd w:id="22"/>
    </w:p>
    <w:p w14:paraId="2E452E37" w14:textId="77777777" w:rsidR="008054B9" w:rsidRPr="000B1702" w:rsidRDefault="008054B9" w:rsidP="003071E0">
      <w:pPr>
        <w:spacing w:line="480" w:lineRule="auto"/>
        <w:rPr>
          <w:noProof/>
        </w:rPr>
      </w:pPr>
      <w:bookmarkStart w:id="23" w:name="_ENREF_23"/>
      <w:r w:rsidRPr="000B1702">
        <w:rPr>
          <w:noProof/>
        </w:rPr>
        <w:t>23.</w:t>
      </w:r>
      <w:r w:rsidRPr="000B1702">
        <w:rPr>
          <w:noProof/>
        </w:rPr>
        <w:tab/>
        <w:t>Ackerman IN, Busija L. Access to self-management education, conservative treatment and surgery for arthritis according to socioeconomic status. Best Practice Research Clinical Rheumatology 2012;(In Press).</w:t>
      </w:r>
      <w:bookmarkEnd w:id="23"/>
    </w:p>
    <w:p w14:paraId="2F0AB026" w14:textId="77777777" w:rsidR="008054B9" w:rsidRPr="000B1702" w:rsidRDefault="008054B9" w:rsidP="003071E0">
      <w:pPr>
        <w:spacing w:line="480" w:lineRule="auto"/>
        <w:rPr>
          <w:noProof/>
        </w:rPr>
      </w:pPr>
      <w:bookmarkStart w:id="24" w:name="_ENREF_24"/>
      <w:r w:rsidRPr="000B1702">
        <w:rPr>
          <w:noProof/>
        </w:rPr>
        <w:t>24.</w:t>
      </w:r>
      <w:r w:rsidRPr="000B1702">
        <w:rPr>
          <w:noProof/>
        </w:rPr>
        <w:tab/>
        <w:t xml:space="preserve">Hawker G, Guan J, Judge A, </w:t>
      </w:r>
      <w:r w:rsidR="00A654E1">
        <w:rPr>
          <w:noProof/>
        </w:rPr>
        <w:t>et al</w:t>
      </w:r>
      <w:r w:rsidRPr="000B1702">
        <w:rPr>
          <w:noProof/>
        </w:rPr>
        <w:t>. Knee arthroscopy in England and Ontario: patterns of use, changes over time, and relationship to total knee replacement. Journal of Bone &amp; Joint Surgery - American Volume. 2008 Nov;90(11):2337-45.</w:t>
      </w:r>
      <w:bookmarkEnd w:id="24"/>
    </w:p>
    <w:p w14:paraId="4814762C" w14:textId="77777777" w:rsidR="008054B9" w:rsidRPr="000B1702" w:rsidRDefault="008054B9" w:rsidP="003071E0">
      <w:pPr>
        <w:spacing w:line="480" w:lineRule="auto"/>
        <w:rPr>
          <w:noProof/>
        </w:rPr>
      </w:pPr>
      <w:bookmarkStart w:id="25" w:name="_ENREF_25"/>
      <w:r w:rsidRPr="000B1702">
        <w:rPr>
          <w:noProof/>
        </w:rPr>
        <w:t>25.</w:t>
      </w:r>
      <w:r w:rsidRPr="000B1702">
        <w:rPr>
          <w:noProof/>
        </w:rPr>
        <w:tab/>
        <w:t xml:space="preserve">Kim S, Bosque J, Meehan JP, Jamali A, </w:t>
      </w:r>
      <w:r w:rsidR="00A654E1">
        <w:rPr>
          <w:noProof/>
        </w:rPr>
        <w:t>et al.</w:t>
      </w:r>
      <w:r w:rsidRPr="000B1702">
        <w:rPr>
          <w:noProof/>
        </w:rPr>
        <w:t xml:space="preserve"> Increase in outpatient knee arthroscopy in the United States: a comparison of National Surveys of Ambulatory Surgery, 1996 and 2006. J Bone Joint Surg Am. 2011 Jun 1;93(11):994-1000.</w:t>
      </w:r>
      <w:bookmarkEnd w:id="25"/>
    </w:p>
    <w:p w14:paraId="5406640E" w14:textId="77777777" w:rsidR="008054B9" w:rsidRPr="000B1702" w:rsidRDefault="008054B9" w:rsidP="003071E0">
      <w:pPr>
        <w:spacing w:line="480" w:lineRule="auto"/>
        <w:rPr>
          <w:noProof/>
        </w:rPr>
      </w:pPr>
      <w:bookmarkStart w:id="26" w:name="_ENREF_26"/>
      <w:r w:rsidRPr="000B1702">
        <w:rPr>
          <w:noProof/>
        </w:rPr>
        <w:t>26.</w:t>
      </w:r>
      <w:r w:rsidRPr="000B1702">
        <w:rPr>
          <w:noProof/>
        </w:rPr>
        <w:tab/>
        <w:t>Bohensky MA, Sundararajan V, Andrianopoulos N, et al. Trends in elective knee arthroscopies in a population-based cohort, 2000-2009. Med J Aust 2012;197(7):399-403.</w:t>
      </w:r>
      <w:bookmarkEnd w:id="26"/>
    </w:p>
    <w:p w14:paraId="14394069" w14:textId="77777777" w:rsidR="008054B9" w:rsidRPr="000B1702" w:rsidRDefault="008054B9" w:rsidP="003071E0">
      <w:pPr>
        <w:spacing w:line="480" w:lineRule="auto"/>
        <w:rPr>
          <w:noProof/>
        </w:rPr>
      </w:pPr>
      <w:bookmarkStart w:id="27" w:name="_ENREF_27"/>
      <w:r w:rsidRPr="000B1702">
        <w:rPr>
          <w:noProof/>
        </w:rPr>
        <w:t>27.</w:t>
      </w:r>
      <w:r w:rsidRPr="000B1702">
        <w:rPr>
          <w:noProof/>
        </w:rPr>
        <w:tab/>
        <w:t>Chodosh J, Solomon DH, Roth CP, et al. The quality of medical care provided to vulnerable older patients with chronic pain. Journal of t</w:t>
      </w:r>
      <w:r w:rsidR="00321EF3">
        <w:rPr>
          <w:noProof/>
        </w:rPr>
        <w:t xml:space="preserve">he American Geriatrics Society. </w:t>
      </w:r>
      <w:r w:rsidRPr="000B1702">
        <w:rPr>
          <w:noProof/>
        </w:rPr>
        <w:t>2004 May;52(5):756-61.</w:t>
      </w:r>
      <w:bookmarkEnd w:id="27"/>
    </w:p>
    <w:p w14:paraId="7368AF05" w14:textId="77777777" w:rsidR="008054B9" w:rsidRPr="000B1702" w:rsidRDefault="008054B9" w:rsidP="003071E0">
      <w:pPr>
        <w:spacing w:line="480" w:lineRule="auto"/>
        <w:rPr>
          <w:noProof/>
        </w:rPr>
      </w:pPr>
      <w:bookmarkStart w:id="28" w:name="_ENREF_28"/>
      <w:r w:rsidRPr="000B1702">
        <w:rPr>
          <w:noProof/>
        </w:rPr>
        <w:t>28.</w:t>
      </w:r>
      <w:r w:rsidRPr="000B1702">
        <w:rPr>
          <w:noProof/>
        </w:rPr>
        <w:tab/>
        <w:t>Pitt VJ, O'Connor D, Green S. Referral of people with osteoarthritis to self-management programmes: barriers and enablers identified by general practitioners. Disabil Rehabil. 2008;30(25):1938 - 46.</w:t>
      </w:r>
      <w:bookmarkEnd w:id="28"/>
    </w:p>
    <w:p w14:paraId="120F3979" w14:textId="77777777" w:rsidR="008054B9" w:rsidRPr="000B1702" w:rsidRDefault="008054B9" w:rsidP="003071E0">
      <w:pPr>
        <w:spacing w:line="480" w:lineRule="auto"/>
        <w:rPr>
          <w:noProof/>
        </w:rPr>
      </w:pPr>
      <w:bookmarkStart w:id="29" w:name="_ENREF_29"/>
      <w:r w:rsidRPr="000B1702">
        <w:rPr>
          <w:noProof/>
        </w:rPr>
        <w:t>29.</w:t>
      </w:r>
      <w:r w:rsidRPr="000B1702">
        <w:rPr>
          <w:noProof/>
        </w:rPr>
        <w:tab/>
        <w:t>Ackerman IN, Buchbinder R, Osborne RH. Factors limiting participation in arthritis self-management programs: An exploration of barriers and patient preferences within a randomised controlled trial. Rheumatology. 2012;(in Press).</w:t>
      </w:r>
      <w:bookmarkEnd w:id="29"/>
    </w:p>
    <w:p w14:paraId="6D1C84BC" w14:textId="77777777" w:rsidR="008054B9" w:rsidRPr="000B1702" w:rsidRDefault="008054B9" w:rsidP="003071E0">
      <w:pPr>
        <w:spacing w:line="480" w:lineRule="auto"/>
        <w:rPr>
          <w:noProof/>
        </w:rPr>
      </w:pPr>
      <w:bookmarkStart w:id="30" w:name="_ENREF_30"/>
      <w:r w:rsidRPr="000B1702">
        <w:rPr>
          <w:noProof/>
        </w:rPr>
        <w:t>30.</w:t>
      </w:r>
      <w:r w:rsidRPr="000B1702">
        <w:rPr>
          <w:noProof/>
        </w:rPr>
        <w:tab/>
        <w:t>P</w:t>
      </w:r>
      <w:r w:rsidR="00321EF3">
        <w:rPr>
          <w:noProof/>
        </w:rPr>
        <w:t>eter WF, Jansen MJ, Hurkmans EJ</w:t>
      </w:r>
      <w:r w:rsidRPr="000B1702">
        <w:rPr>
          <w:noProof/>
        </w:rPr>
        <w:t xml:space="preserve"> et al. Physiotherapy in hip and knee osteoarthritis: development of a practice guideline concerning initial assessment, treatment and </w:t>
      </w:r>
      <w:r w:rsidR="00321EF3">
        <w:rPr>
          <w:noProof/>
        </w:rPr>
        <w:t xml:space="preserve">evaluation. Acta Reumatol Port. </w:t>
      </w:r>
      <w:r w:rsidRPr="000B1702">
        <w:rPr>
          <w:noProof/>
        </w:rPr>
        <w:t>2011 Jul-Sep;36(3):268-81.</w:t>
      </w:r>
      <w:bookmarkEnd w:id="30"/>
    </w:p>
    <w:p w14:paraId="7A1D1FD2" w14:textId="77777777" w:rsidR="008054B9" w:rsidRPr="000B1702" w:rsidRDefault="008054B9" w:rsidP="003071E0">
      <w:pPr>
        <w:spacing w:line="480" w:lineRule="auto"/>
        <w:rPr>
          <w:noProof/>
        </w:rPr>
      </w:pPr>
      <w:bookmarkStart w:id="31" w:name="_ENREF_31"/>
      <w:r w:rsidRPr="000B1702">
        <w:rPr>
          <w:noProof/>
        </w:rPr>
        <w:t>31.</w:t>
      </w:r>
      <w:r w:rsidRPr="000B1702">
        <w:rPr>
          <w:noProof/>
        </w:rPr>
        <w:tab/>
        <w:t>Fransen M, McConnell S. Land-based exercise for osteoarthritis of the knee: a metaanalysis of randomized controlled trials. J Rheumatol. 2009 Jun;36(6):1109-17.</w:t>
      </w:r>
      <w:bookmarkEnd w:id="31"/>
    </w:p>
    <w:p w14:paraId="4A5AC17C" w14:textId="77777777" w:rsidR="008054B9" w:rsidRPr="000B1702" w:rsidRDefault="008054B9" w:rsidP="003071E0">
      <w:pPr>
        <w:spacing w:line="480" w:lineRule="auto"/>
        <w:rPr>
          <w:noProof/>
        </w:rPr>
      </w:pPr>
      <w:bookmarkStart w:id="32" w:name="_ENREF_32"/>
      <w:r w:rsidRPr="000B1702">
        <w:rPr>
          <w:noProof/>
        </w:rPr>
        <w:t>32.</w:t>
      </w:r>
      <w:r w:rsidRPr="000B1702">
        <w:rPr>
          <w:noProof/>
        </w:rPr>
        <w:tab/>
        <w:t>Mazi</w:t>
      </w:r>
      <w:r w:rsidR="00321EF3">
        <w:rPr>
          <w:noProof/>
        </w:rPr>
        <w:t>eres B, Thevenon A, Coudeyre E et al</w:t>
      </w:r>
      <w:r w:rsidRPr="000B1702">
        <w:rPr>
          <w:noProof/>
        </w:rPr>
        <w:t>. Adherence to, and results of, physical therapy programs in patients with hip or knee osteoarthritis. Development of French clinical practice guidelines. Joint, bone, spine : revue du rhumatisme. 2008 Oct;75(5):589-96.</w:t>
      </w:r>
      <w:bookmarkEnd w:id="32"/>
    </w:p>
    <w:p w14:paraId="16BD982D" w14:textId="77777777" w:rsidR="008054B9" w:rsidRPr="000B1702" w:rsidRDefault="008054B9" w:rsidP="003071E0">
      <w:pPr>
        <w:spacing w:line="480" w:lineRule="auto"/>
        <w:rPr>
          <w:noProof/>
        </w:rPr>
      </w:pPr>
      <w:bookmarkStart w:id="33" w:name="_ENREF_33"/>
      <w:r w:rsidRPr="000B1702">
        <w:rPr>
          <w:noProof/>
        </w:rPr>
        <w:t>33.</w:t>
      </w:r>
      <w:r w:rsidRPr="000B1702">
        <w:rPr>
          <w:noProof/>
        </w:rPr>
        <w:tab/>
        <w:t xml:space="preserve">Pisters MF, Veenhof C, Schellevis FG </w:t>
      </w:r>
      <w:r w:rsidR="00321EF3">
        <w:rPr>
          <w:noProof/>
        </w:rPr>
        <w:t>et al</w:t>
      </w:r>
      <w:r w:rsidRPr="000B1702">
        <w:rPr>
          <w:noProof/>
        </w:rPr>
        <w:t>. Exercise adherence improving long-term patient outcome in patients with osteoarthritis of the hip and/or knee. Arthritis Care &amp; Research. 2010 Aug;62(8):1087-94.</w:t>
      </w:r>
      <w:bookmarkEnd w:id="33"/>
    </w:p>
    <w:p w14:paraId="0283BFEE" w14:textId="77777777" w:rsidR="008054B9" w:rsidRPr="000B1702" w:rsidRDefault="008054B9" w:rsidP="003071E0">
      <w:pPr>
        <w:spacing w:line="480" w:lineRule="auto"/>
        <w:rPr>
          <w:noProof/>
        </w:rPr>
      </w:pPr>
      <w:bookmarkStart w:id="34" w:name="_ENREF_34"/>
      <w:r w:rsidRPr="000B1702">
        <w:rPr>
          <w:noProof/>
        </w:rPr>
        <w:t>34.</w:t>
      </w:r>
      <w:r w:rsidRPr="000B1702">
        <w:rPr>
          <w:noProof/>
        </w:rPr>
        <w:tab/>
        <w:t xml:space="preserve">Jordan JL, Holden MA, Mason EE </w:t>
      </w:r>
      <w:r w:rsidR="003071E0">
        <w:rPr>
          <w:noProof/>
        </w:rPr>
        <w:t>et al</w:t>
      </w:r>
      <w:r w:rsidRPr="000B1702">
        <w:rPr>
          <w:noProof/>
        </w:rPr>
        <w:t>. Interventions to improve adherence to exercise for chronic musculoskeletal pain in adults. Cochrane Database of Systematic Reviews. 2010(1):CD005956.</w:t>
      </w:r>
      <w:bookmarkEnd w:id="34"/>
    </w:p>
    <w:p w14:paraId="1366CF2D" w14:textId="77777777" w:rsidR="008054B9" w:rsidRPr="000B1702" w:rsidRDefault="008054B9" w:rsidP="003071E0">
      <w:pPr>
        <w:spacing w:line="480" w:lineRule="auto"/>
        <w:rPr>
          <w:noProof/>
        </w:rPr>
      </w:pPr>
      <w:bookmarkStart w:id="35" w:name="_ENREF_35"/>
      <w:r w:rsidRPr="000B1702">
        <w:rPr>
          <w:noProof/>
        </w:rPr>
        <w:t>35.</w:t>
      </w:r>
      <w:r w:rsidRPr="000B1702">
        <w:rPr>
          <w:noProof/>
        </w:rPr>
        <w:tab/>
        <w:t>Fransen M, McConnell S. Exercise for osteoarthritis of the knee. Cochrane Database of Systematic Reviews. 2008(4):CD004376.</w:t>
      </w:r>
      <w:bookmarkEnd w:id="35"/>
    </w:p>
    <w:p w14:paraId="6A26B04A" w14:textId="77777777" w:rsidR="008054B9" w:rsidRPr="000B1702" w:rsidRDefault="008054B9" w:rsidP="003071E0">
      <w:pPr>
        <w:spacing w:line="480" w:lineRule="auto"/>
        <w:rPr>
          <w:noProof/>
        </w:rPr>
      </w:pPr>
      <w:bookmarkStart w:id="36" w:name="_ENREF_36"/>
      <w:r w:rsidRPr="000B1702">
        <w:rPr>
          <w:noProof/>
        </w:rPr>
        <w:t>36.</w:t>
      </w:r>
      <w:r w:rsidRPr="000B1702">
        <w:rPr>
          <w:noProof/>
        </w:rPr>
        <w:tab/>
        <w:t>Cottrell E, Roddy E, Foster NE. The attitudes, beliefs and behaviours of GPs regarding exercise for chronic knee pain: a systematic review. BMC Fam Pract. 2010;11:4.</w:t>
      </w:r>
      <w:bookmarkEnd w:id="36"/>
    </w:p>
    <w:p w14:paraId="6945E78A" w14:textId="77777777" w:rsidR="008054B9" w:rsidRPr="000B1702" w:rsidRDefault="008054B9" w:rsidP="003071E0">
      <w:pPr>
        <w:spacing w:line="480" w:lineRule="auto"/>
        <w:rPr>
          <w:noProof/>
        </w:rPr>
      </w:pPr>
      <w:bookmarkStart w:id="37" w:name="_ENREF_37"/>
      <w:r w:rsidRPr="000B1702">
        <w:rPr>
          <w:noProof/>
        </w:rPr>
        <w:t>37.</w:t>
      </w:r>
      <w:r w:rsidRPr="000B1702">
        <w:rPr>
          <w:noProof/>
        </w:rPr>
        <w:tab/>
        <w:t xml:space="preserve">Chevalier X, Marre JP, de Butler J </w:t>
      </w:r>
      <w:r w:rsidR="00167908">
        <w:rPr>
          <w:noProof/>
        </w:rPr>
        <w:t>et al</w:t>
      </w:r>
      <w:r w:rsidRPr="000B1702">
        <w:rPr>
          <w:noProof/>
        </w:rPr>
        <w:t>. Questionnaire survey of management and prescription of general practitioners in knee osteoarthritis: a comparison with 2000 EULAR recommendations. Clinical and experimental rheumatology. 2004 Mar-Apr;22(2):205-12.</w:t>
      </w:r>
      <w:bookmarkEnd w:id="37"/>
    </w:p>
    <w:p w14:paraId="39D07F1C" w14:textId="77777777" w:rsidR="008054B9" w:rsidRPr="000B1702" w:rsidRDefault="008054B9" w:rsidP="003071E0">
      <w:pPr>
        <w:spacing w:line="480" w:lineRule="auto"/>
        <w:rPr>
          <w:noProof/>
        </w:rPr>
      </w:pPr>
      <w:bookmarkStart w:id="38" w:name="_ENREF_38"/>
      <w:r w:rsidRPr="000B1702">
        <w:rPr>
          <w:noProof/>
        </w:rPr>
        <w:t>38.</w:t>
      </w:r>
      <w:r w:rsidRPr="000B1702">
        <w:rPr>
          <w:noProof/>
        </w:rPr>
        <w:tab/>
        <w:t xml:space="preserve">Holden MA, Nicholls EE, Young J </w:t>
      </w:r>
      <w:r w:rsidR="00167908">
        <w:rPr>
          <w:noProof/>
        </w:rPr>
        <w:t>et al</w:t>
      </w:r>
      <w:r w:rsidRPr="000B1702">
        <w:rPr>
          <w:noProof/>
        </w:rPr>
        <w:t>. UK-based physical therapists' attitudes and beliefs regarding exercise and knee osteoarthritis: findings from a mixed-methods study. Arthritis and rheumatism. 2009 Nov 15;61(11):1511-21.</w:t>
      </w:r>
      <w:bookmarkEnd w:id="38"/>
    </w:p>
    <w:p w14:paraId="0EA9372E" w14:textId="77777777" w:rsidR="008054B9" w:rsidRPr="000B1702" w:rsidRDefault="008054B9" w:rsidP="003071E0">
      <w:pPr>
        <w:spacing w:line="480" w:lineRule="auto"/>
        <w:rPr>
          <w:noProof/>
        </w:rPr>
      </w:pPr>
      <w:bookmarkStart w:id="39" w:name="_ENREF_39"/>
      <w:r w:rsidRPr="000B1702">
        <w:rPr>
          <w:noProof/>
        </w:rPr>
        <w:t>39.</w:t>
      </w:r>
      <w:r w:rsidRPr="000B1702">
        <w:rPr>
          <w:noProof/>
        </w:rPr>
        <w:tab/>
        <w:t>Hochberg MC, Altman RD, Toupin A</w:t>
      </w:r>
      <w:r w:rsidR="00167908">
        <w:rPr>
          <w:noProof/>
        </w:rPr>
        <w:t xml:space="preserve">K </w:t>
      </w:r>
      <w:r w:rsidRPr="000B1702">
        <w:rPr>
          <w:noProof/>
        </w:rPr>
        <w:t>et al. American College of Rheumatology 2012 recommendations for the use of nonpharmacologic and pharmacologic therapies in osteoarthritis of the hand, hip, and knee. Arthritis Care Res. 2012;64(4):465-74.</w:t>
      </w:r>
      <w:bookmarkEnd w:id="39"/>
    </w:p>
    <w:p w14:paraId="0CB6A9AB" w14:textId="77777777" w:rsidR="008054B9" w:rsidRPr="000B1702" w:rsidRDefault="008054B9" w:rsidP="003071E0">
      <w:pPr>
        <w:spacing w:line="480" w:lineRule="auto"/>
        <w:rPr>
          <w:noProof/>
        </w:rPr>
      </w:pPr>
      <w:bookmarkStart w:id="40" w:name="_ENREF_40"/>
      <w:r w:rsidRPr="000B1702">
        <w:rPr>
          <w:noProof/>
        </w:rPr>
        <w:t>40.</w:t>
      </w:r>
      <w:r w:rsidRPr="000B1702">
        <w:rPr>
          <w:noProof/>
        </w:rPr>
        <w:tab/>
        <w:t>Zhang W, Moskowitz RW, Nuki G et al. OARSI recommendations for the management of hip and knee osteoarthritis, Part II: OARSI evidence-based, expert consensus guidelines. Osteoarthritis Cartilage. 2008;16(2):137-62.</w:t>
      </w:r>
      <w:bookmarkEnd w:id="40"/>
    </w:p>
    <w:p w14:paraId="5697C34F" w14:textId="77777777" w:rsidR="008054B9" w:rsidRPr="000B1702" w:rsidRDefault="008054B9" w:rsidP="003071E0">
      <w:pPr>
        <w:spacing w:line="480" w:lineRule="auto"/>
        <w:rPr>
          <w:noProof/>
        </w:rPr>
      </w:pPr>
      <w:bookmarkStart w:id="41" w:name="_ENREF_41"/>
      <w:r w:rsidRPr="000B1702">
        <w:rPr>
          <w:noProof/>
        </w:rPr>
        <w:t>41.</w:t>
      </w:r>
      <w:r w:rsidRPr="000B1702">
        <w:rPr>
          <w:noProof/>
        </w:rPr>
        <w:tab/>
        <w:t xml:space="preserve">Christensen R, Bartels EM, Astrup A </w:t>
      </w:r>
      <w:r w:rsidR="00273F0F">
        <w:rPr>
          <w:noProof/>
        </w:rPr>
        <w:t>et al</w:t>
      </w:r>
      <w:r w:rsidRPr="000B1702">
        <w:rPr>
          <w:noProof/>
        </w:rPr>
        <w:t>. Effect of weight reduction in obese patients diagnosed with knee osteoarthritis: a systematic review and meta-analysis. Annals of the Rheumatic Diseases. 2007 Apr;66(4):433-9.</w:t>
      </w:r>
      <w:bookmarkEnd w:id="41"/>
    </w:p>
    <w:p w14:paraId="172CA4C3" w14:textId="77777777" w:rsidR="008054B9" w:rsidRPr="000B1702" w:rsidRDefault="008054B9" w:rsidP="003071E0">
      <w:pPr>
        <w:spacing w:line="480" w:lineRule="auto"/>
        <w:rPr>
          <w:noProof/>
        </w:rPr>
      </w:pPr>
      <w:bookmarkStart w:id="42" w:name="_ENREF_42"/>
      <w:r w:rsidRPr="000B1702">
        <w:rPr>
          <w:noProof/>
        </w:rPr>
        <w:t>42.</w:t>
      </w:r>
      <w:r w:rsidRPr="000B1702">
        <w:rPr>
          <w:noProof/>
        </w:rPr>
        <w:tab/>
        <w:t>Brosseau L, Wells GA, Tugwell P</w:t>
      </w:r>
      <w:r w:rsidR="00273F0F">
        <w:rPr>
          <w:noProof/>
        </w:rPr>
        <w:t xml:space="preserve"> </w:t>
      </w:r>
      <w:r w:rsidRPr="000B1702">
        <w:rPr>
          <w:noProof/>
        </w:rPr>
        <w:t>et al. Ottawa Panel evidence-based clinical practice guidelines for the management of osteoarthritis in adults who are obese or overweight. Physical Therapy. 2011 Jun;91(6):843-61.</w:t>
      </w:r>
      <w:bookmarkEnd w:id="42"/>
    </w:p>
    <w:p w14:paraId="26B9985F" w14:textId="77777777" w:rsidR="008054B9" w:rsidRPr="000B1702" w:rsidRDefault="008054B9" w:rsidP="003071E0">
      <w:pPr>
        <w:spacing w:line="480" w:lineRule="auto"/>
        <w:rPr>
          <w:noProof/>
        </w:rPr>
      </w:pPr>
      <w:bookmarkStart w:id="43" w:name="_ENREF_43"/>
      <w:r w:rsidRPr="000B1702">
        <w:rPr>
          <w:noProof/>
        </w:rPr>
        <w:t>43.</w:t>
      </w:r>
      <w:r w:rsidRPr="000B1702">
        <w:rPr>
          <w:noProof/>
        </w:rPr>
        <w:tab/>
        <w:t>Ravaud P, Flipo RM, Boutron I</w:t>
      </w:r>
      <w:r w:rsidR="00273F0F">
        <w:rPr>
          <w:noProof/>
        </w:rPr>
        <w:t xml:space="preserve"> </w:t>
      </w:r>
      <w:r w:rsidRPr="000B1702">
        <w:rPr>
          <w:noProof/>
        </w:rPr>
        <w:t>et al. ARTIST (osteoarthritis intervention standardized) study of standardised consultation versus usual care for patients with osteoarthritis of the knee in primary care in France: pragmatic randomised controlled trial. BMJ. 2009;338:b421.</w:t>
      </w:r>
      <w:bookmarkEnd w:id="43"/>
    </w:p>
    <w:p w14:paraId="39172B96" w14:textId="77777777" w:rsidR="008054B9" w:rsidRPr="000B1702" w:rsidRDefault="008054B9" w:rsidP="003071E0">
      <w:pPr>
        <w:spacing w:line="480" w:lineRule="auto"/>
        <w:rPr>
          <w:noProof/>
        </w:rPr>
      </w:pPr>
      <w:bookmarkStart w:id="44" w:name="_ENREF_44"/>
      <w:r w:rsidRPr="000B1702">
        <w:rPr>
          <w:noProof/>
        </w:rPr>
        <w:t>44.</w:t>
      </w:r>
      <w:r w:rsidRPr="000B1702">
        <w:rPr>
          <w:noProof/>
        </w:rPr>
        <w:tab/>
        <w:t>Jordan KM, Arden NK, Doherty M et al. EULAR Recommendations 2003: an evidence based approach to the management of knee osteoarthritis: Report of a Task Force of the Standing Committee for International Clinical Studies Including Therapeutic Trials (ESCISIT). Annals of the Rheumatic Diseases. 2003 Dec;62(12):1145-55.</w:t>
      </w:r>
      <w:bookmarkEnd w:id="44"/>
    </w:p>
    <w:p w14:paraId="48EFE060" w14:textId="77777777" w:rsidR="008054B9" w:rsidRPr="000B1702" w:rsidRDefault="008054B9" w:rsidP="003071E0">
      <w:pPr>
        <w:spacing w:line="480" w:lineRule="auto"/>
        <w:rPr>
          <w:noProof/>
        </w:rPr>
      </w:pPr>
      <w:bookmarkStart w:id="45" w:name="_ENREF_45"/>
      <w:r w:rsidRPr="000B1702">
        <w:rPr>
          <w:noProof/>
        </w:rPr>
        <w:t>45.</w:t>
      </w:r>
      <w:r w:rsidRPr="000B1702">
        <w:rPr>
          <w:noProof/>
        </w:rPr>
        <w:tab/>
        <w:t>Chappell AS, Ossanna MJ, Liu-Seifert H et al. Duloxetine, a centrally acting analgesic, in the treatment of patients with osteoarthritis knee pain: a 13-week, randomized, placebo-controlled trial. Pain. 2009 Dec;146(3):253-60.</w:t>
      </w:r>
      <w:bookmarkEnd w:id="45"/>
    </w:p>
    <w:p w14:paraId="357F9645" w14:textId="77777777" w:rsidR="008054B9" w:rsidRPr="000B1702" w:rsidRDefault="008054B9" w:rsidP="003071E0">
      <w:pPr>
        <w:spacing w:line="480" w:lineRule="auto"/>
        <w:rPr>
          <w:noProof/>
        </w:rPr>
      </w:pPr>
      <w:bookmarkStart w:id="46" w:name="_ENREF_46"/>
      <w:r w:rsidRPr="000B1702">
        <w:rPr>
          <w:noProof/>
        </w:rPr>
        <w:t>46.</w:t>
      </w:r>
      <w:r w:rsidRPr="000B1702">
        <w:rPr>
          <w:noProof/>
        </w:rPr>
        <w:tab/>
        <w:t>Wandel S, Juni P, Tendal B et al. Effects of glucosamine, chondroitin, or placebo in patients with osteoarthritis of hip or knee: network meta-analysis. BMJ. 2010;341:c4675.</w:t>
      </w:r>
      <w:bookmarkEnd w:id="46"/>
    </w:p>
    <w:p w14:paraId="7AB4B545" w14:textId="77777777" w:rsidR="008054B9" w:rsidRPr="000B1702" w:rsidRDefault="008054B9" w:rsidP="003071E0">
      <w:pPr>
        <w:spacing w:line="480" w:lineRule="auto"/>
        <w:rPr>
          <w:noProof/>
        </w:rPr>
      </w:pPr>
      <w:bookmarkStart w:id="47" w:name="_ENREF_47"/>
      <w:r w:rsidRPr="000B1702">
        <w:rPr>
          <w:noProof/>
        </w:rPr>
        <w:t>47.</w:t>
      </w:r>
      <w:r w:rsidRPr="000B1702">
        <w:rPr>
          <w:noProof/>
        </w:rPr>
        <w:tab/>
        <w:t>Reichenbach S, Sterchi R, Scherer M et al. Meta-analysis: chondroitin for osteoarthritis of the knee or hip. Annals of Internal Medicine. 2007;146(8):580-90.</w:t>
      </w:r>
      <w:bookmarkEnd w:id="47"/>
    </w:p>
    <w:p w14:paraId="019B20F7" w14:textId="77777777" w:rsidR="008054B9" w:rsidRPr="000B1702" w:rsidRDefault="008054B9" w:rsidP="003071E0">
      <w:pPr>
        <w:spacing w:line="480" w:lineRule="auto"/>
        <w:rPr>
          <w:noProof/>
        </w:rPr>
      </w:pPr>
      <w:bookmarkStart w:id="48" w:name="_ENREF_48"/>
      <w:r w:rsidRPr="000B1702">
        <w:rPr>
          <w:noProof/>
        </w:rPr>
        <w:t>48.</w:t>
      </w:r>
      <w:r w:rsidRPr="000B1702">
        <w:rPr>
          <w:noProof/>
        </w:rPr>
        <w:tab/>
        <w:t>Hochberg MC. Structure-modifying effects of chondroitin sulfate in knee osteoarthritis: an updated meta-analysis of randomized placebo-controlled trials of 2-year duration. Osteoarthritis and cartilage / OARS, Osteoarthritis Research Society. 2010 Jun;18 Suppl 1:S28-31.</w:t>
      </w:r>
      <w:bookmarkEnd w:id="48"/>
    </w:p>
    <w:p w14:paraId="374C51D0" w14:textId="77777777" w:rsidR="008054B9" w:rsidRPr="000B1702" w:rsidRDefault="008054B9" w:rsidP="003071E0">
      <w:pPr>
        <w:spacing w:line="480" w:lineRule="auto"/>
        <w:rPr>
          <w:noProof/>
        </w:rPr>
      </w:pPr>
      <w:bookmarkStart w:id="49" w:name="_ENREF_49"/>
      <w:r w:rsidRPr="000B1702">
        <w:rPr>
          <w:noProof/>
        </w:rPr>
        <w:t>49.</w:t>
      </w:r>
      <w:r w:rsidRPr="000B1702">
        <w:rPr>
          <w:noProof/>
        </w:rPr>
        <w:tab/>
        <w:t xml:space="preserve">Shekelle PG, Woolf SH, Eccles M </w:t>
      </w:r>
      <w:r w:rsidR="00BB47FA">
        <w:rPr>
          <w:noProof/>
        </w:rPr>
        <w:t>et al</w:t>
      </w:r>
      <w:r w:rsidRPr="000B1702">
        <w:rPr>
          <w:noProof/>
        </w:rPr>
        <w:t>. Clinical guidelines: developing guidelines. BMJ. 1999 Feb 27;318(7183):593-6.</w:t>
      </w:r>
      <w:bookmarkEnd w:id="49"/>
    </w:p>
    <w:p w14:paraId="05EB673E" w14:textId="77777777" w:rsidR="008054B9" w:rsidRPr="000B1702" w:rsidRDefault="008054B9" w:rsidP="003071E0">
      <w:pPr>
        <w:spacing w:line="480" w:lineRule="auto"/>
        <w:rPr>
          <w:noProof/>
        </w:rPr>
      </w:pPr>
      <w:bookmarkStart w:id="50" w:name="_ENREF_50"/>
      <w:r w:rsidRPr="000B1702">
        <w:rPr>
          <w:noProof/>
        </w:rPr>
        <w:t>50.</w:t>
      </w:r>
      <w:r w:rsidRPr="000B1702">
        <w:rPr>
          <w:noProof/>
        </w:rPr>
        <w:tab/>
        <w:t>Rutjes AW, Juni P, da Costa BR, Trelle S, Nuesch E, Reichenbach S. Viscosupplementation for Osteoarthritis of the Knee: A Systematic Review and Meta-analysis. Annals of Internal Medicine. 2012 Aug 7;157(3):180-91.</w:t>
      </w:r>
      <w:bookmarkEnd w:id="50"/>
    </w:p>
    <w:p w14:paraId="32E469D3" w14:textId="77777777" w:rsidR="008054B9" w:rsidRPr="000B1702" w:rsidRDefault="008054B9" w:rsidP="003071E0">
      <w:pPr>
        <w:spacing w:line="480" w:lineRule="auto"/>
        <w:rPr>
          <w:noProof/>
        </w:rPr>
      </w:pPr>
      <w:bookmarkStart w:id="51" w:name="_ENREF_51"/>
      <w:r w:rsidRPr="000B1702">
        <w:rPr>
          <w:noProof/>
        </w:rPr>
        <w:t>51.</w:t>
      </w:r>
      <w:r w:rsidRPr="000B1702">
        <w:rPr>
          <w:noProof/>
        </w:rPr>
        <w:tab/>
        <w:t xml:space="preserve">Patrignani P, Tacconelli S, Bruno A </w:t>
      </w:r>
      <w:r w:rsidR="00900BA9">
        <w:rPr>
          <w:noProof/>
        </w:rPr>
        <w:t>et al</w:t>
      </w:r>
      <w:r w:rsidRPr="000B1702">
        <w:rPr>
          <w:noProof/>
        </w:rPr>
        <w:t>. Managing the adverse effects of nonsteroidal anti-inflammatory drugs. Expert Rev Clin Pharmacol. 2011 Sep;4(5):605-21.</w:t>
      </w:r>
      <w:bookmarkEnd w:id="51"/>
    </w:p>
    <w:p w14:paraId="7FBC953F" w14:textId="77777777" w:rsidR="008054B9" w:rsidRPr="000B1702" w:rsidRDefault="008054B9" w:rsidP="003071E0">
      <w:pPr>
        <w:spacing w:line="480" w:lineRule="auto"/>
        <w:rPr>
          <w:noProof/>
        </w:rPr>
      </w:pPr>
      <w:bookmarkStart w:id="52" w:name="_ENREF_52"/>
      <w:r w:rsidRPr="000B1702">
        <w:rPr>
          <w:noProof/>
        </w:rPr>
        <w:t>52.</w:t>
      </w:r>
      <w:r w:rsidRPr="000B1702">
        <w:rPr>
          <w:noProof/>
        </w:rPr>
        <w:tab/>
        <w:t>Britt H, Miller GC, Charles J et al. A decade of Australian general practice activity 2001-02 to 2010-11. Sydney2011.</w:t>
      </w:r>
      <w:bookmarkEnd w:id="52"/>
    </w:p>
    <w:p w14:paraId="00B68AAD" w14:textId="77777777" w:rsidR="008054B9" w:rsidRPr="000B1702" w:rsidRDefault="008054B9" w:rsidP="003071E0">
      <w:pPr>
        <w:spacing w:line="480" w:lineRule="auto"/>
        <w:rPr>
          <w:noProof/>
        </w:rPr>
      </w:pPr>
      <w:bookmarkStart w:id="53" w:name="_ENREF_53"/>
      <w:r w:rsidRPr="000B1702">
        <w:rPr>
          <w:noProof/>
        </w:rPr>
        <w:t>53.</w:t>
      </w:r>
      <w:r w:rsidRPr="000B1702">
        <w:rPr>
          <w:noProof/>
        </w:rPr>
        <w:tab/>
        <w:t>Hall WD, Farrell MP. Minimising the misuse of oxycodone and other pharmaceutical opioids in Australia. Med J Aust. 2011 Sep 5;195(5):248-9.</w:t>
      </w:r>
      <w:bookmarkEnd w:id="53"/>
    </w:p>
    <w:p w14:paraId="75F2BAD4" w14:textId="77777777" w:rsidR="008054B9" w:rsidRPr="000B1702" w:rsidRDefault="008054B9" w:rsidP="003071E0">
      <w:pPr>
        <w:spacing w:line="480" w:lineRule="auto"/>
        <w:rPr>
          <w:noProof/>
        </w:rPr>
      </w:pPr>
      <w:bookmarkStart w:id="54" w:name="_ENREF_54"/>
      <w:r w:rsidRPr="000B1702">
        <w:rPr>
          <w:noProof/>
        </w:rPr>
        <w:t>54.</w:t>
      </w:r>
      <w:r w:rsidRPr="000B1702">
        <w:rPr>
          <w:noProof/>
        </w:rPr>
        <w:tab/>
        <w:t>Roxburgh A, Bruno R, Larance B</w:t>
      </w:r>
      <w:r w:rsidR="00900BA9">
        <w:rPr>
          <w:noProof/>
        </w:rPr>
        <w:t xml:space="preserve"> et al</w:t>
      </w:r>
      <w:r w:rsidRPr="000B1702">
        <w:rPr>
          <w:noProof/>
        </w:rPr>
        <w:t xml:space="preserve"> . Prescription of opioid analgesics and related harms in Australia. Med J Aust. 2011 Sep 5;195(5):280-4.</w:t>
      </w:r>
      <w:bookmarkEnd w:id="54"/>
    </w:p>
    <w:p w14:paraId="7BF648C1" w14:textId="77777777" w:rsidR="008054B9" w:rsidRPr="000B1702" w:rsidRDefault="008054B9" w:rsidP="003071E0">
      <w:pPr>
        <w:spacing w:line="480" w:lineRule="auto"/>
        <w:rPr>
          <w:noProof/>
        </w:rPr>
      </w:pPr>
      <w:bookmarkStart w:id="55" w:name="_ENREF_55"/>
      <w:r w:rsidRPr="000B1702">
        <w:rPr>
          <w:noProof/>
        </w:rPr>
        <w:t>55.</w:t>
      </w:r>
      <w:r w:rsidRPr="000B1702">
        <w:rPr>
          <w:noProof/>
        </w:rPr>
        <w:tab/>
        <w:t xml:space="preserve">Harrison CM, Charles J, Henderson J </w:t>
      </w:r>
      <w:r w:rsidR="00900BA9">
        <w:rPr>
          <w:noProof/>
        </w:rPr>
        <w:t>et al</w:t>
      </w:r>
      <w:r w:rsidRPr="000B1702">
        <w:rPr>
          <w:noProof/>
        </w:rPr>
        <w:t>. Opioid prescribing in Australian general practice. Med J Aust. 2012 Apr 2;196(6):380-1.</w:t>
      </w:r>
      <w:bookmarkEnd w:id="55"/>
    </w:p>
    <w:p w14:paraId="32521584" w14:textId="77777777" w:rsidR="008054B9" w:rsidRPr="000B1702" w:rsidRDefault="008054B9" w:rsidP="003071E0">
      <w:pPr>
        <w:spacing w:line="480" w:lineRule="auto"/>
        <w:rPr>
          <w:noProof/>
        </w:rPr>
      </w:pPr>
      <w:bookmarkStart w:id="56" w:name="_ENREF_56"/>
      <w:r w:rsidRPr="000B1702">
        <w:rPr>
          <w:noProof/>
        </w:rPr>
        <w:t>56.</w:t>
      </w:r>
      <w:r w:rsidRPr="000B1702">
        <w:rPr>
          <w:noProof/>
        </w:rPr>
        <w:tab/>
        <w:t xml:space="preserve">Rissanen P, Aro S, Sintonen H </w:t>
      </w:r>
      <w:r w:rsidR="00900BA9">
        <w:rPr>
          <w:noProof/>
        </w:rPr>
        <w:t>et al</w:t>
      </w:r>
      <w:r w:rsidRPr="000B1702">
        <w:rPr>
          <w:noProof/>
        </w:rPr>
        <w:t>. Costs and cost-effectiveness in hip and knee replacements. A prospective study. Int</w:t>
      </w:r>
      <w:r w:rsidR="00900BA9">
        <w:rPr>
          <w:noProof/>
        </w:rPr>
        <w:t xml:space="preserve"> J Technol Assess Health Care. </w:t>
      </w:r>
      <w:r w:rsidRPr="000B1702">
        <w:rPr>
          <w:noProof/>
        </w:rPr>
        <w:t>1997</w:t>
      </w:r>
      <w:r w:rsidR="00900BA9">
        <w:rPr>
          <w:noProof/>
        </w:rPr>
        <w:t xml:space="preserve"> </w:t>
      </w:r>
      <w:r w:rsidRPr="000B1702">
        <w:rPr>
          <w:noProof/>
        </w:rPr>
        <w:t>Fall;13(4):575-88.</w:t>
      </w:r>
      <w:bookmarkEnd w:id="56"/>
    </w:p>
    <w:p w14:paraId="1210371B" w14:textId="77777777" w:rsidR="008054B9" w:rsidRPr="000B1702" w:rsidRDefault="008054B9" w:rsidP="003071E0">
      <w:pPr>
        <w:spacing w:line="480" w:lineRule="auto"/>
        <w:rPr>
          <w:noProof/>
        </w:rPr>
      </w:pPr>
      <w:bookmarkStart w:id="57" w:name="_ENREF_57"/>
      <w:r w:rsidRPr="000B1702">
        <w:rPr>
          <w:noProof/>
        </w:rPr>
        <w:t>57.</w:t>
      </w:r>
      <w:r w:rsidRPr="000B1702">
        <w:rPr>
          <w:noProof/>
        </w:rPr>
        <w:tab/>
        <w:t>Losina E, Walensky RP, Kessler et al. Cost-effectiveness of total knee arthroplasty in the United States: patient risk and hospital volume. Archives of Internal Medicine. 2009 Jun 22;169(12):1113-21; discussion 21-2.</w:t>
      </w:r>
      <w:bookmarkEnd w:id="57"/>
    </w:p>
    <w:p w14:paraId="131ECB99" w14:textId="77777777" w:rsidR="008054B9" w:rsidRPr="000B1702" w:rsidRDefault="008054B9" w:rsidP="003071E0">
      <w:pPr>
        <w:spacing w:line="480" w:lineRule="auto"/>
        <w:rPr>
          <w:noProof/>
        </w:rPr>
      </w:pPr>
      <w:bookmarkStart w:id="58" w:name="_ENREF_58"/>
      <w:r w:rsidRPr="000B1702">
        <w:rPr>
          <w:noProof/>
        </w:rPr>
        <w:t>58.</w:t>
      </w:r>
      <w:r w:rsidRPr="000B1702">
        <w:rPr>
          <w:noProof/>
        </w:rPr>
        <w:tab/>
        <w:t>Ackerman IN, Dieppe PA, March LM et al. Variation in age and physical status prior to total knee and hip replacement surgery: a comparison of centers in Australia and Europe. Arthritis and rheumatism. 2009 Feb 15;61(2):166-73.</w:t>
      </w:r>
      <w:bookmarkEnd w:id="58"/>
    </w:p>
    <w:p w14:paraId="1F755652" w14:textId="77777777" w:rsidR="008054B9" w:rsidRPr="000B1702" w:rsidRDefault="008054B9" w:rsidP="003071E0">
      <w:pPr>
        <w:spacing w:line="480" w:lineRule="auto"/>
        <w:rPr>
          <w:noProof/>
        </w:rPr>
      </w:pPr>
      <w:bookmarkStart w:id="59" w:name="_ENREF_59"/>
      <w:r w:rsidRPr="000B1702">
        <w:rPr>
          <w:noProof/>
        </w:rPr>
        <w:t>59.</w:t>
      </w:r>
      <w:r w:rsidRPr="000B1702">
        <w:rPr>
          <w:noProof/>
        </w:rPr>
        <w:tab/>
        <w:t>Dieppe P, Judge A, Williams S et al. Variations in the pre-operative status of patients coming to primary hip replacement for osteoarthritis in European orthopaedic centres. BMC Musculoskeletal Disorders. 2009;10:19.</w:t>
      </w:r>
      <w:bookmarkEnd w:id="59"/>
    </w:p>
    <w:p w14:paraId="737D41EE" w14:textId="77777777" w:rsidR="008054B9" w:rsidRPr="000B1702" w:rsidRDefault="008054B9" w:rsidP="003071E0">
      <w:pPr>
        <w:spacing w:line="480" w:lineRule="auto"/>
        <w:rPr>
          <w:noProof/>
        </w:rPr>
      </w:pPr>
      <w:bookmarkStart w:id="60" w:name="_ENREF_60"/>
      <w:r w:rsidRPr="000B1702">
        <w:rPr>
          <w:noProof/>
        </w:rPr>
        <w:t>60.</w:t>
      </w:r>
      <w:r w:rsidRPr="000B1702">
        <w:rPr>
          <w:noProof/>
        </w:rPr>
        <w:tab/>
        <w:t>Irgit K, Nelson CL. Defining racial and ethnic disparities in THA and TKA. Clin Orthop Relat Res. 2011 Jul;469(7):1817-23.</w:t>
      </w:r>
      <w:bookmarkEnd w:id="60"/>
    </w:p>
    <w:p w14:paraId="275745DE" w14:textId="77777777" w:rsidR="008054B9" w:rsidRPr="000B1702" w:rsidRDefault="008054B9" w:rsidP="003071E0">
      <w:pPr>
        <w:spacing w:line="480" w:lineRule="auto"/>
        <w:rPr>
          <w:noProof/>
        </w:rPr>
      </w:pPr>
      <w:bookmarkStart w:id="61" w:name="_ENREF_61"/>
      <w:r w:rsidRPr="000B1702">
        <w:rPr>
          <w:noProof/>
        </w:rPr>
        <w:t>61.</w:t>
      </w:r>
      <w:r w:rsidRPr="000B1702">
        <w:rPr>
          <w:noProof/>
        </w:rPr>
        <w:tab/>
        <w:t>Novicoff WM, Saleh KJ. Examining sex and gender disparities in total joint arthroplasty. Clin Orthop Relat Res. 2011 Jul;469(7):1824-8.</w:t>
      </w:r>
      <w:bookmarkEnd w:id="61"/>
    </w:p>
    <w:p w14:paraId="5A20199B" w14:textId="77777777" w:rsidR="008054B9" w:rsidRPr="000B1702" w:rsidRDefault="008054B9" w:rsidP="003071E0">
      <w:pPr>
        <w:spacing w:line="480" w:lineRule="auto"/>
        <w:rPr>
          <w:noProof/>
        </w:rPr>
      </w:pPr>
      <w:bookmarkStart w:id="62" w:name="_ENREF_62"/>
      <w:r w:rsidRPr="000B1702">
        <w:rPr>
          <w:noProof/>
        </w:rPr>
        <w:t>62.</w:t>
      </w:r>
      <w:r w:rsidRPr="000B1702">
        <w:rPr>
          <w:noProof/>
        </w:rPr>
        <w:tab/>
        <w:t>H</w:t>
      </w:r>
      <w:r w:rsidR="007E5A66">
        <w:rPr>
          <w:noProof/>
        </w:rPr>
        <w:t xml:space="preserve">awker GA, Wright JG, Glazier RH </w:t>
      </w:r>
      <w:r w:rsidRPr="000B1702">
        <w:rPr>
          <w:noProof/>
        </w:rPr>
        <w:t>et al. The effect of education and income on need and willingness to undergo total joint arthroplasty. Arthritis &amp; Rheumatism. 2002;46(12):3331-9.</w:t>
      </w:r>
      <w:bookmarkEnd w:id="62"/>
    </w:p>
    <w:p w14:paraId="1C8345D9" w14:textId="77777777" w:rsidR="008054B9" w:rsidRPr="000B1702" w:rsidRDefault="008054B9" w:rsidP="003071E0">
      <w:pPr>
        <w:spacing w:line="480" w:lineRule="auto"/>
        <w:rPr>
          <w:noProof/>
        </w:rPr>
      </w:pPr>
      <w:bookmarkStart w:id="63" w:name="_ENREF_63"/>
      <w:r w:rsidRPr="000B1702">
        <w:rPr>
          <w:noProof/>
        </w:rPr>
        <w:t>63.</w:t>
      </w:r>
      <w:r w:rsidRPr="000B1702">
        <w:rPr>
          <w:noProof/>
        </w:rPr>
        <w:tab/>
        <w:t xml:space="preserve">Judge A, Welton NJ, Sandhu J </w:t>
      </w:r>
      <w:r w:rsidR="00012906">
        <w:rPr>
          <w:noProof/>
        </w:rPr>
        <w:t>et al</w:t>
      </w:r>
      <w:r w:rsidRPr="000B1702">
        <w:rPr>
          <w:noProof/>
        </w:rPr>
        <w:t>. Equity in access to total joint replacement of the hip and knee in England: cross sectional study. BMJ. 2010;341:c4092.</w:t>
      </w:r>
      <w:bookmarkEnd w:id="63"/>
    </w:p>
    <w:p w14:paraId="731B56F1" w14:textId="77777777" w:rsidR="008054B9" w:rsidRPr="000B1702" w:rsidRDefault="008054B9" w:rsidP="003071E0">
      <w:pPr>
        <w:spacing w:line="480" w:lineRule="auto"/>
        <w:rPr>
          <w:noProof/>
        </w:rPr>
      </w:pPr>
      <w:bookmarkStart w:id="64" w:name="_ENREF_64"/>
      <w:r w:rsidRPr="000B1702">
        <w:rPr>
          <w:noProof/>
        </w:rPr>
        <w:t>64.</w:t>
      </w:r>
      <w:r w:rsidRPr="000B1702">
        <w:rPr>
          <w:noProof/>
        </w:rPr>
        <w:tab/>
        <w:t>Rahman MM, Kopec JA, Sayre EC et al. Effect of sociodemographic factors on surgical consultations and hip or knee replacements among patients with osteoarthritis in British Columbia, Canada. J Rheumatol. 2011 Mar;38(3):503-9.</w:t>
      </w:r>
      <w:bookmarkEnd w:id="64"/>
    </w:p>
    <w:p w14:paraId="7AE355D5" w14:textId="77777777" w:rsidR="008054B9" w:rsidRPr="000B1702" w:rsidRDefault="008054B9" w:rsidP="003071E0">
      <w:pPr>
        <w:spacing w:line="480" w:lineRule="auto"/>
        <w:rPr>
          <w:noProof/>
        </w:rPr>
      </w:pPr>
      <w:bookmarkStart w:id="65" w:name="_ENREF_65"/>
      <w:r w:rsidRPr="000B1702">
        <w:rPr>
          <w:noProof/>
        </w:rPr>
        <w:t>65.</w:t>
      </w:r>
      <w:r w:rsidRPr="000B1702">
        <w:rPr>
          <w:noProof/>
        </w:rPr>
        <w:tab/>
        <w:t xml:space="preserve">Steel N, Melzer D, Gardener E </w:t>
      </w:r>
      <w:r w:rsidR="00EE398C">
        <w:rPr>
          <w:noProof/>
        </w:rPr>
        <w:t>et al</w:t>
      </w:r>
      <w:r w:rsidRPr="000B1702">
        <w:rPr>
          <w:noProof/>
        </w:rPr>
        <w:t>. Need for and receipt of hip and knee replacement--a national population survey. Rheumatology. 2006 Nov;45(11):1437-41.</w:t>
      </w:r>
      <w:bookmarkEnd w:id="65"/>
    </w:p>
    <w:p w14:paraId="7E60B700" w14:textId="77777777" w:rsidR="008054B9" w:rsidRPr="000B1702" w:rsidRDefault="008054B9" w:rsidP="003071E0">
      <w:pPr>
        <w:spacing w:line="480" w:lineRule="auto"/>
        <w:rPr>
          <w:noProof/>
        </w:rPr>
      </w:pPr>
      <w:bookmarkStart w:id="66" w:name="_ENREF_66"/>
      <w:r w:rsidRPr="000B1702">
        <w:rPr>
          <w:noProof/>
        </w:rPr>
        <w:t>66.</w:t>
      </w:r>
      <w:r w:rsidRPr="000B1702">
        <w:rPr>
          <w:noProof/>
        </w:rPr>
        <w:tab/>
        <w:t xml:space="preserve">Skinner J, Weinstein JN, Sporer SM </w:t>
      </w:r>
      <w:r w:rsidR="00EE398C">
        <w:rPr>
          <w:noProof/>
        </w:rPr>
        <w:t>et al</w:t>
      </w:r>
      <w:r w:rsidRPr="000B1702">
        <w:rPr>
          <w:noProof/>
        </w:rPr>
        <w:t>. Racial, ethnic, and geographic disparities in rates of knee arthroplasty among Medicare patients. The New England journal of medicine. 2003 Oct 2;349(14):1350-9.</w:t>
      </w:r>
      <w:bookmarkEnd w:id="66"/>
    </w:p>
    <w:p w14:paraId="5F59671F" w14:textId="77777777" w:rsidR="008054B9" w:rsidRPr="000B1702" w:rsidRDefault="008054B9" w:rsidP="003071E0">
      <w:pPr>
        <w:spacing w:line="480" w:lineRule="auto"/>
        <w:rPr>
          <w:noProof/>
        </w:rPr>
      </w:pPr>
      <w:bookmarkStart w:id="67" w:name="_ENREF_67"/>
      <w:r w:rsidRPr="000B1702">
        <w:rPr>
          <w:noProof/>
        </w:rPr>
        <w:t>67.</w:t>
      </w:r>
      <w:r w:rsidRPr="000B1702">
        <w:rPr>
          <w:noProof/>
        </w:rPr>
        <w:tab/>
        <w:t xml:space="preserve">Clement ND, MacDonald D, Howie CR </w:t>
      </w:r>
      <w:r w:rsidR="00EE398C">
        <w:rPr>
          <w:noProof/>
        </w:rPr>
        <w:t>et al</w:t>
      </w:r>
      <w:r w:rsidRPr="000B1702">
        <w:rPr>
          <w:noProof/>
        </w:rPr>
        <w:t>. The outcome of primary total hip and knee arthroplasty in patients aged 80 years or more. J Bone Joint Surg Br. 2011 Sep;93(9):1265-70.</w:t>
      </w:r>
      <w:bookmarkEnd w:id="67"/>
    </w:p>
    <w:p w14:paraId="03D5EE4D" w14:textId="77777777" w:rsidR="008054B9" w:rsidRPr="000B1702" w:rsidRDefault="008054B9" w:rsidP="003071E0">
      <w:pPr>
        <w:spacing w:line="480" w:lineRule="auto"/>
        <w:rPr>
          <w:noProof/>
        </w:rPr>
      </w:pPr>
      <w:bookmarkStart w:id="68" w:name="_ENREF_68"/>
      <w:r w:rsidRPr="000B1702">
        <w:rPr>
          <w:noProof/>
        </w:rPr>
        <w:t>68.</w:t>
      </w:r>
      <w:r w:rsidRPr="000B1702">
        <w:rPr>
          <w:noProof/>
        </w:rPr>
        <w:tab/>
        <w:t xml:space="preserve">Ackerman IN, Graves SE, Wicks </w:t>
      </w:r>
      <w:r w:rsidR="00A96246">
        <w:rPr>
          <w:noProof/>
        </w:rPr>
        <w:t>et al</w:t>
      </w:r>
      <w:r w:rsidRPr="000B1702">
        <w:rPr>
          <w:noProof/>
        </w:rPr>
        <w:t>. Severely compromised quality of life in women and those of lower socioeconomic status waiting for joint replacement surgery. Arthritis Rheum. 2005 Oct 15;53(5):653-8.</w:t>
      </w:r>
      <w:bookmarkEnd w:id="68"/>
    </w:p>
    <w:p w14:paraId="4123B1E0" w14:textId="77777777" w:rsidR="008054B9" w:rsidRPr="000B1702" w:rsidRDefault="008054B9" w:rsidP="003071E0">
      <w:pPr>
        <w:spacing w:line="480" w:lineRule="auto"/>
        <w:rPr>
          <w:noProof/>
        </w:rPr>
      </w:pPr>
      <w:bookmarkStart w:id="69" w:name="_ENREF_69"/>
      <w:r w:rsidRPr="000B1702">
        <w:rPr>
          <w:noProof/>
        </w:rPr>
        <w:t>69.</w:t>
      </w:r>
      <w:r w:rsidRPr="000B1702">
        <w:rPr>
          <w:noProof/>
        </w:rPr>
        <w:tab/>
        <w:t>Jenkins PJ, Perry PR, Yew Ng C</w:t>
      </w:r>
      <w:r w:rsidR="00A96246">
        <w:rPr>
          <w:noProof/>
        </w:rPr>
        <w:t xml:space="preserve"> et al</w:t>
      </w:r>
      <w:r w:rsidRPr="000B1702">
        <w:rPr>
          <w:noProof/>
        </w:rPr>
        <w:t>. Deprivation influences the functional outcome from total hip arthroplasty. Surgeon. 2009 Dec;7(6):351-6.</w:t>
      </w:r>
      <w:bookmarkEnd w:id="69"/>
    </w:p>
    <w:p w14:paraId="116BB72B" w14:textId="77777777" w:rsidR="008054B9" w:rsidRPr="000B1702" w:rsidRDefault="008054B9" w:rsidP="003071E0">
      <w:pPr>
        <w:spacing w:line="480" w:lineRule="auto"/>
        <w:rPr>
          <w:noProof/>
        </w:rPr>
      </w:pPr>
      <w:bookmarkStart w:id="70" w:name="_ENREF_70"/>
      <w:r w:rsidRPr="000B1702">
        <w:rPr>
          <w:noProof/>
        </w:rPr>
        <w:t>70.</w:t>
      </w:r>
      <w:r w:rsidRPr="000B1702">
        <w:rPr>
          <w:noProof/>
        </w:rPr>
        <w:tab/>
        <w:t>Pollard B, Johnston M, Dieppe P. Exploring the relationships between International Classification of Functioning, Disability and Health (ICF) constructs of Impairment, Activity Limitation and Participation Restriction in people with osteoarthritis prior to joint replacement. BMC Musculoskeletal Disorders. 2011;12:97.</w:t>
      </w:r>
      <w:bookmarkEnd w:id="70"/>
    </w:p>
    <w:p w14:paraId="6C5EA976" w14:textId="77777777" w:rsidR="008054B9" w:rsidRPr="000B1702" w:rsidRDefault="008054B9" w:rsidP="003071E0">
      <w:pPr>
        <w:spacing w:line="480" w:lineRule="auto"/>
        <w:rPr>
          <w:noProof/>
        </w:rPr>
      </w:pPr>
      <w:bookmarkStart w:id="71" w:name="_ENREF_71"/>
      <w:r w:rsidRPr="000B1702">
        <w:rPr>
          <w:noProof/>
        </w:rPr>
        <w:t>71.</w:t>
      </w:r>
      <w:r w:rsidRPr="000B1702">
        <w:rPr>
          <w:noProof/>
        </w:rPr>
        <w:tab/>
        <w:t>Dieppe P, Lim K, Lohmander S. Who should have knee joint replacement surgery for osteoarthritis? Int J Rheum Dis. 2011 May;14(2):175-80.</w:t>
      </w:r>
      <w:bookmarkEnd w:id="71"/>
    </w:p>
    <w:p w14:paraId="06980098" w14:textId="77777777" w:rsidR="008054B9" w:rsidRPr="000B1702" w:rsidRDefault="008054B9" w:rsidP="003071E0">
      <w:pPr>
        <w:spacing w:line="480" w:lineRule="auto"/>
        <w:rPr>
          <w:noProof/>
        </w:rPr>
      </w:pPr>
      <w:bookmarkStart w:id="72" w:name="_ENREF_72"/>
      <w:r w:rsidRPr="000B1702">
        <w:rPr>
          <w:noProof/>
        </w:rPr>
        <w:t>72.</w:t>
      </w:r>
      <w:r w:rsidRPr="000B1702">
        <w:rPr>
          <w:noProof/>
        </w:rPr>
        <w:tab/>
        <w:t>Critchley RJ, Baker PN, Deehan DJ. Does surgical volume affect outcome after primary and revision knee arthroplasty? A systematic review of the literature. The Knee. 2012 Oct;19(5):513-8.</w:t>
      </w:r>
      <w:bookmarkEnd w:id="72"/>
    </w:p>
    <w:p w14:paraId="105B69EA" w14:textId="77777777" w:rsidR="008054B9" w:rsidRPr="000B1702" w:rsidRDefault="008054B9" w:rsidP="003071E0">
      <w:pPr>
        <w:spacing w:line="480" w:lineRule="auto"/>
        <w:rPr>
          <w:noProof/>
        </w:rPr>
      </w:pPr>
      <w:bookmarkStart w:id="73" w:name="_ENREF_73"/>
      <w:r w:rsidRPr="000B1702">
        <w:rPr>
          <w:noProof/>
        </w:rPr>
        <w:t>73.</w:t>
      </w:r>
      <w:r w:rsidRPr="000B1702">
        <w:rPr>
          <w:noProof/>
        </w:rPr>
        <w:tab/>
        <w:t>Stacey D, Bennett CL, Barry MJ et al. Decision aids to help people who are facing health treatment or screening decisions. Cochrane Database of Systematic Reviews 2011. 2012(Issue 10):Art. No.: CD001431. DOI: 10.1002/14651858.CD001431.pub3.</w:t>
      </w:r>
      <w:bookmarkEnd w:id="73"/>
    </w:p>
    <w:p w14:paraId="1DFAED4F" w14:textId="77777777" w:rsidR="008054B9" w:rsidRPr="000B1702" w:rsidRDefault="008054B9" w:rsidP="003071E0">
      <w:pPr>
        <w:spacing w:line="480" w:lineRule="auto"/>
        <w:rPr>
          <w:noProof/>
        </w:rPr>
      </w:pPr>
      <w:bookmarkStart w:id="74" w:name="_ENREF_74"/>
      <w:r w:rsidRPr="000B1702">
        <w:rPr>
          <w:noProof/>
        </w:rPr>
        <w:t>74.</w:t>
      </w:r>
      <w:r w:rsidRPr="000B1702">
        <w:rPr>
          <w:noProof/>
        </w:rPr>
        <w:tab/>
        <w:t>Arterburn D, Wellman R, Westbrook E et al. Introducing decision AIDS at group health was linked to sharply lower hip and knee surgery rates and costs. Health Aff (Millwood). 2012 Sep;31(9):2094-104.</w:t>
      </w:r>
      <w:bookmarkEnd w:id="74"/>
    </w:p>
    <w:p w14:paraId="3E6EA520" w14:textId="77777777" w:rsidR="008054B9" w:rsidRPr="000B1702" w:rsidRDefault="008054B9" w:rsidP="003071E0">
      <w:pPr>
        <w:spacing w:line="480" w:lineRule="auto"/>
        <w:rPr>
          <w:noProof/>
        </w:rPr>
      </w:pPr>
      <w:bookmarkStart w:id="75" w:name="_ENREF_75"/>
      <w:r w:rsidRPr="000B1702">
        <w:rPr>
          <w:noProof/>
        </w:rPr>
        <w:t>75.</w:t>
      </w:r>
      <w:r w:rsidRPr="000B1702">
        <w:rPr>
          <w:noProof/>
        </w:rPr>
        <w:tab/>
        <w:t>Sprague NF, 3rd. Arthroscopic debridement for degenerative knee joint disease. Clin Orthop Relat Res. 1981 Oct(160):118-23.</w:t>
      </w:r>
      <w:bookmarkEnd w:id="75"/>
    </w:p>
    <w:p w14:paraId="35C183A8" w14:textId="77777777" w:rsidR="008054B9" w:rsidRPr="000B1702" w:rsidRDefault="008054B9" w:rsidP="003071E0">
      <w:pPr>
        <w:spacing w:line="480" w:lineRule="auto"/>
        <w:rPr>
          <w:noProof/>
        </w:rPr>
      </w:pPr>
      <w:bookmarkStart w:id="76" w:name="_ENREF_76"/>
      <w:r w:rsidRPr="000B1702">
        <w:rPr>
          <w:noProof/>
        </w:rPr>
        <w:t>76.</w:t>
      </w:r>
      <w:r w:rsidRPr="000B1702">
        <w:rPr>
          <w:noProof/>
        </w:rPr>
        <w:tab/>
        <w:t>Ogilvie-Harris DJ, Fitsialos DP. Arthroscopic management of the degenerative knee. Arthroscopy : the journal of arthroscopic &amp; related surgery : official publication of the Arthroscopy Association of North America and the International Arthroscopy Association. 1991;7(2):151-7.</w:t>
      </w:r>
      <w:bookmarkEnd w:id="76"/>
    </w:p>
    <w:p w14:paraId="5BE4A55D" w14:textId="77777777" w:rsidR="008054B9" w:rsidRPr="000B1702" w:rsidRDefault="008054B9" w:rsidP="003071E0">
      <w:pPr>
        <w:spacing w:line="480" w:lineRule="auto"/>
        <w:rPr>
          <w:noProof/>
        </w:rPr>
      </w:pPr>
      <w:bookmarkStart w:id="77" w:name="_ENREF_77"/>
      <w:r w:rsidRPr="000B1702">
        <w:rPr>
          <w:noProof/>
        </w:rPr>
        <w:t>77.</w:t>
      </w:r>
      <w:r w:rsidRPr="000B1702">
        <w:rPr>
          <w:noProof/>
        </w:rPr>
        <w:tab/>
        <w:t xml:space="preserve">Gross DE, Brenner SL, Esformes I </w:t>
      </w:r>
      <w:r w:rsidR="002860F6">
        <w:rPr>
          <w:noProof/>
        </w:rPr>
        <w:t>et al</w:t>
      </w:r>
      <w:r w:rsidRPr="000B1702">
        <w:rPr>
          <w:noProof/>
        </w:rPr>
        <w:t>. Arthroscopic treatment of degenerative joint disease of the knee. Orthopedics. 1991 Dec;14(12):1317-21.</w:t>
      </w:r>
      <w:bookmarkEnd w:id="77"/>
    </w:p>
    <w:p w14:paraId="6DA8B8C0" w14:textId="77777777" w:rsidR="008054B9" w:rsidRPr="000B1702" w:rsidRDefault="008054B9" w:rsidP="003071E0">
      <w:pPr>
        <w:spacing w:line="480" w:lineRule="auto"/>
        <w:rPr>
          <w:noProof/>
        </w:rPr>
      </w:pPr>
      <w:bookmarkStart w:id="78" w:name="_ENREF_78"/>
      <w:r w:rsidRPr="000B1702">
        <w:rPr>
          <w:noProof/>
        </w:rPr>
        <w:t>78.</w:t>
      </w:r>
      <w:r w:rsidRPr="000B1702">
        <w:rPr>
          <w:noProof/>
        </w:rPr>
        <w:tab/>
        <w:t xml:space="preserve">Baumgaertner MR, Cannon WD, Jr., Vittori </w:t>
      </w:r>
      <w:r w:rsidR="002860F6">
        <w:rPr>
          <w:noProof/>
        </w:rPr>
        <w:t>et al</w:t>
      </w:r>
      <w:r w:rsidRPr="000B1702">
        <w:rPr>
          <w:noProof/>
        </w:rPr>
        <w:t>. Arthroscopic debridement of the arthritic knee. Clin Orthop Relat Res. 1990 Apr(253):197-202.</w:t>
      </w:r>
      <w:bookmarkEnd w:id="78"/>
    </w:p>
    <w:p w14:paraId="7CC48107" w14:textId="77777777" w:rsidR="008054B9" w:rsidRPr="000B1702" w:rsidRDefault="008054B9" w:rsidP="003071E0">
      <w:pPr>
        <w:spacing w:line="480" w:lineRule="auto"/>
        <w:rPr>
          <w:noProof/>
        </w:rPr>
      </w:pPr>
      <w:bookmarkStart w:id="79" w:name="_ENREF_79"/>
      <w:r w:rsidRPr="000B1702">
        <w:rPr>
          <w:noProof/>
        </w:rPr>
        <w:t>79.</w:t>
      </w:r>
      <w:r w:rsidRPr="000B1702">
        <w:rPr>
          <w:noProof/>
        </w:rPr>
        <w:tab/>
        <w:t>Moseley JB, O'Malley K, Petersen NJ et al. A controlled trial of arthroscopic surgery for osteoarthritis of the knee. New England Journal of Medicine. 2002;347(2):81-8.</w:t>
      </w:r>
      <w:bookmarkEnd w:id="79"/>
    </w:p>
    <w:p w14:paraId="1996DD4F" w14:textId="77777777" w:rsidR="008054B9" w:rsidRPr="000B1702" w:rsidRDefault="008054B9" w:rsidP="003071E0">
      <w:pPr>
        <w:spacing w:line="480" w:lineRule="auto"/>
        <w:rPr>
          <w:noProof/>
        </w:rPr>
      </w:pPr>
      <w:bookmarkStart w:id="80" w:name="_ENREF_80"/>
      <w:r w:rsidRPr="000B1702">
        <w:rPr>
          <w:noProof/>
        </w:rPr>
        <w:t>80.</w:t>
      </w:r>
      <w:r w:rsidRPr="000B1702">
        <w:rPr>
          <w:noProof/>
        </w:rPr>
        <w:tab/>
        <w:t>Chambers K, Schulzer M, Sobolev B. A controlled trial of arthroscopic surgery for osteoarthritis of the knee. Arthroscopy : the journal of arthroscopic &amp; related surgery : official publication of the Arthroscopy Association of North America and the International Arthroscopy Association. 2002 Sep;18(7):683-7.</w:t>
      </w:r>
      <w:bookmarkEnd w:id="80"/>
    </w:p>
    <w:p w14:paraId="4BB4EB9A" w14:textId="77777777" w:rsidR="008054B9" w:rsidRPr="000B1702" w:rsidRDefault="008054B9" w:rsidP="003071E0">
      <w:pPr>
        <w:spacing w:line="480" w:lineRule="auto"/>
        <w:rPr>
          <w:noProof/>
        </w:rPr>
      </w:pPr>
      <w:bookmarkStart w:id="81" w:name="_ENREF_81"/>
      <w:r w:rsidRPr="000B1702">
        <w:rPr>
          <w:noProof/>
        </w:rPr>
        <w:t>81.</w:t>
      </w:r>
      <w:r w:rsidRPr="000B1702">
        <w:rPr>
          <w:noProof/>
        </w:rPr>
        <w:tab/>
        <w:t>Johnson LL. A controlled trial of arthroscopic surgery for osteoarthritis of the knee. Arthroscopy : the journal of arthroscopic &amp; related surgery : official publication of the Arthroscopy Association of North America and the International Arthroscopy Association. 2002 Sep;18(7):683-7.</w:t>
      </w:r>
      <w:bookmarkEnd w:id="81"/>
    </w:p>
    <w:p w14:paraId="76BF4CDB" w14:textId="77777777" w:rsidR="008054B9" w:rsidRPr="000B1702" w:rsidRDefault="008054B9" w:rsidP="002860F6">
      <w:pPr>
        <w:spacing w:line="480" w:lineRule="auto"/>
        <w:rPr>
          <w:noProof/>
        </w:rPr>
      </w:pPr>
      <w:bookmarkStart w:id="82" w:name="_ENREF_82"/>
      <w:r w:rsidRPr="000B1702">
        <w:rPr>
          <w:noProof/>
        </w:rPr>
        <w:t>82.</w:t>
      </w:r>
      <w:r w:rsidRPr="000B1702">
        <w:rPr>
          <w:noProof/>
        </w:rPr>
        <w:tab/>
        <w:t>Kirkley A, Birmingham TB, Litchfield RB et al. A randomized trial of arthroscopic surgery for osteoarthriti</w:t>
      </w:r>
      <w:r w:rsidR="002860F6">
        <w:rPr>
          <w:noProof/>
        </w:rPr>
        <w:t>s of the knee. The New England Journal of M</w:t>
      </w:r>
      <w:r w:rsidRPr="000B1702">
        <w:rPr>
          <w:noProof/>
        </w:rPr>
        <w:t xml:space="preserve">edicine. </w:t>
      </w:r>
      <w:r w:rsidR="002860F6">
        <w:rPr>
          <w:noProof/>
        </w:rPr>
        <w:t>2</w:t>
      </w:r>
      <w:r w:rsidRPr="000B1702">
        <w:rPr>
          <w:noProof/>
        </w:rPr>
        <w:t>008 Sep 11;359(11):1097-107.</w:t>
      </w:r>
      <w:bookmarkEnd w:id="82"/>
    </w:p>
    <w:p w14:paraId="23F46C90" w14:textId="77777777" w:rsidR="008054B9" w:rsidRPr="000B1702" w:rsidRDefault="008054B9" w:rsidP="003071E0">
      <w:pPr>
        <w:spacing w:line="480" w:lineRule="auto"/>
        <w:rPr>
          <w:noProof/>
        </w:rPr>
      </w:pPr>
      <w:bookmarkStart w:id="83" w:name="_ENREF_83"/>
      <w:r w:rsidRPr="000B1702">
        <w:rPr>
          <w:noProof/>
        </w:rPr>
        <w:t>83.</w:t>
      </w:r>
      <w:r w:rsidRPr="000B1702">
        <w:rPr>
          <w:noProof/>
        </w:rPr>
        <w:tab/>
        <w:t>American Academy of Orthopaedic Surgeons(AAOS). Clinical Practice Guideline on the Treatment of Osteoarthritis of the Knee (Non-Arthroplasty). AAOS; 2008</w:t>
      </w:r>
      <w:r w:rsidR="00886F51">
        <w:rPr>
          <w:noProof/>
        </w:rPr>
        <w:t>.</w:t>
      </w:r>
      <w:r w:rsidRPr="000B1702">
        <w:rPr>
          <w:noProof/>
        </w:rPr>
        <w:t xml:space="preserve"> </w:t>
      </w:r>
      <w:bookmarkEnd w:id="83"/>
    </w:p>
    <w:p w14:paraId="72F5A5A7" w14:textId="77777777" w:rsidR="008054B9" w:rsidRPr="000B1702" w:rsidRDefault="008054B9" w:rsidP="003071E0">
      <w:pPr>
        <w:spacing w:line="480" w:lineRule="auto"/>
        <w:rPr>
          <w:noProof/>
        </w:rPr>
      </w:pPr>
      <w:bookmarkStart w:id="84" w:name="_ENREF_84"/>
      <w:r w:rsidRPr="000B1702">
        <w:rPr>
          <w:noProof/>
        </w:rPr>
        <w:t>84.</w:t>
      </w:r>
      <w:r w:rsidRPr="000B1702">
        <w:rPr>
          <w:noProof/>
        </w:rPr>
        <w:tab/>
        <w:t>Zhang W, Moskowitz RW, Nuki G et al. OARSI recommendations for the management of hip and knee osteoarthritis, Part II: OARSI evidence-based, expert consensus guidelines. Osteoarthritis and cartilage / OARS, Osteoarthritis Research Society. 2008 Feb;16(2):137-62.</w:t>
      </w:r>
      <w:bookmarkEnd w:id="84"/>
    </w:p>
    <w:p w14:paraId="54E0F399" w14:textId="77777777" w:rsidR="008054B9" w:rsidRPr="000B1702" w:rsidRDefault="008054B9" w:rsidP="003071E0">
      <w:pPr>
        <w:spacing w:line="480" w:lineRule="auto"/>
        <w:rPr>
          <w:noProof/>
        </w:rPr>
      </w:pPr>
      <w:bookmarkStart w:id="85" w:name="_ENREF_85"/>
      <w:r w:rsidRPr="000B1702">
        <w:rPr>
          <w:noProof/>
        </w:rPr>
        <w:t>85.</w:t>
      </w:r>
      <w:r w:rsidRPr="000B1702">
        <w:rPr>
          <w:noProof/>
        </w:rPr>
        <w:tab/>
        <w:t>Meakins JL. Evidence-based surgery. Surg Clin North Am. 2006 Feb;86(1):1-16, vii.</w:t>
      </w:r>
      <w:bookmarkEnd w:id="85"/>
    </w:p>
    <w:p w14:paraId="54EE1F34" w14:textId="77777777" w:rsidR="008054B9" w:rsidRPr="000B1702" w:rsidRDefault="008054B9" w:rsidP="003071E0">
      <w:pPr>
        <w:spacing w:line="480" w:lineRule="auto"/>
        <w:rPr>
          <w:noProof/>
        </w:rPr>
      </w:pPr>
      <w:bookmarkStart w:id="86" w:name="_ENREF_86"/>
      <w:r w:rsidRPr="000B1702">
        <w:rPr>
          <w:noProof/>
        </w:rPr>
        <w:t>86.</w:t>
      </w:r>
      <w:r w:rsidRPr="000B1702">
        <w:rPr>
          <w:noProof/>
        </w:rPr>
        <w:tab/>
        <w:t xml:space="preserve">Kawamoto K, Houlihan CA, Balas EA </w:t>
      </w:r>
      <w:r w:rsidR="00886F51">
        <w:rPr>
          <w:noProof/>
        </w:rPr>
        <w:t>et al</w:t>
      </w:r>
      <w:r w:rsidRPr="000B1702">
        <w:rPr>
          <w:noProof/>
        </w:rPr>
        <w:t>. Improving clinical practice using clinical decision support systems: a systematic review of trials to identify features critical to success. BMJ. 2005 Apr 2;330(7494):765.</w:t>
      </w:r>
      <w:bookmarkEnd w:id="86"/>
    </w:p>
    <w:p w14:paraId="4E2FF9F0" w14:textId="77777777" w:rsidR="008054B9" w:rsidRPr="000B1702" w:rsidRDefault="008054B9" w:rsidP="003071E0">
      <w:pPr>
        <w:spacing w:line="480" w:lineRule="auto"/>
        <w:rPr>
          <w:noProof/>
        </w:rPr>
      </w:pPr>
      <w:bookmarkStart w:id="87" w:name="_ENREF_87"/>
      <w:r w:rsidRPr="000B1702">
        <w:rPr>
          <w:noProof/>
        </w:rPr>
        <w:t>87.</w:t>
      </w:r>
      <w:r w:rsidRPr="000B1702">
        <w:rPr>
          <w:noProof/>
        </w:rPr>
        <w:tab/>
        <w:t xml:space="preserve">Lugtenberg M, Zegers-van Schaick JM, Westert GP </w:t>
      </w:r>
      <w:r w:rsidR="00886F51">
        <w:rPr>
          <w:noProof/>
        </w:rPr>
        <w:t>et al</w:t>
      </w:r>
      <w:r w:rsidRPr="000B1702">
        <w:rPr>
          <w:noProof/>
        </w:rPr>
        <w:t>. Why don't physicians adhere to guideline recommendations in practice? An analysis of barriers among Dutch general practitioners. Implement Sci. 2009;4:54.</w:t>
      </w:r>
      <w:bookmarkEnd w:id="87"/>
    </w:p>
    <w:p w14:paraId="2194432E" w14:textId="77777777" w:rsidR="008054B9" w:rsidRPr="000B1702" w:rsidRDefault="008054B9" w:rsidP="003071E0">
      <w:pPr>
        <w:spacing w:line="480" w:lineRule="auto"/>
        <w:rPr>
          <w:noProof/>
        </w:rPr>
      </w:pPr>
      <w:bookmarkStart w:id="88" w:name="_ENREF_88"/>
      <w:r w:rsidRPr="000B1702">
        <w:rPr>
          <w:noProof/>
        </w:rPr>
        <w:t>88.</w:t>
      </w:r>
      <w:r w:rsidRPr="000B1702">
        <w:rPr>
          <w:noProof/>
        </w:rPr>
        <w:tab/>
        <w:t>Grimshaw JM, Russell IT. Effect of clinical guidelines on medical practice: a systematic review of rigorous evaluations. Lancet. 1993 Nov 27;342(8883):1317-22.</w:t>
      </w:r>
      <w:bookmarkEnd w:id="88"/>
    </w:p>
    <w:p w14:paraId="4FE21121" w14:textId="77777777" w:rsidR="008054B9" w:rsidRPr="000B1702" w:rsidRDefault="008054B9" w:rsidP="003071E0">
      <w:pPr>
        <w:spacing w:line="480" w:lineRule="auto"/>
        <w:rPr>
          <w:noProof/>
        </w:rPr>
      </w:pPr>
      <w:bookmarkStart w:id="89" w:name="_ENREF_89"/>
      <w:r w:rsidRPr="000B1702">
        <w:rPr>
          <w:noProof/>
        </w:rPr>
        <w:t>89.</w:t>
      </w:r>
      <w:r w:rsidRPr="000B1702">
        <w:rPr>
          <w:noProof/>
        </w:rPr>
        <w:tab/>
        <w:t xml:space="preserve">Woolf SH, Grol R, Hutchinson A </w:t>
      </w:r>
      <w:r w:rsidR="00F812FE">
        <w:rPr>
          <w:noProof/>
        </w:rPr>
        <w:t>et al</w:t>
      </w:r>
      <w:r w:rsidRPr="000B1702">
        <w:rPr>
          <w:noProof/>
        </w:rPr>
        <w:t>. Clinical guidelines: potential benefits, limitations, and harms of clinical guidelines. BMJ. 1999 Feb 20;318(7182):527-30.</w:t>
      </w:r>
      <w:bookmarkEnd w:id="89"/>
    </w:p>
    <w:p w14:paraId="2EB7FB87" w14:textId="77777777" w:rsidR="008054B9" w:rsidRPr="000B1702" w:rsidRDefault="008054B9" w:rsidP="003071E0">
      <w:pPr>
        <w:spacing w:line="480" w:lineRule="auto"/>
        <w:rPr>
          <w:noProof/>
        </w:rPr>
      </w:pPr>
      <w:bookmarkStart w:id="90" w:name="_ENREF_90"/>
      <w:r w:rsidRPr="000B1702">
        <w:rPr>
          <w:noProof/>
        </w:rPr>
        <w:t>90.</w:t>
      </w:r>
      <w:r w:rsidRPr="000B1702">
        <w:rPr>
          <w:noProof/>
        </w:rPr>
        <w:tab/>
        <w:t>Garg AX, Adhikari NK, McDonald H et al. Effects of computerized clinical decision support systems on practitioner performance and patient outcomes: a systematic review. JAMA : the journal of the American Medical Association. 2005 Mar 9;293(10):1223-38.</w:t>
      </w:r>
      <w:bookmarkEnd w:id="90"/>
    </w:p>
    <w:p w14:paraId="63392A08" w14:textId="77777777" w:rsidR="008054B9" w:rsidRPr="000B1702" w:rsidRDefault="00F812FE" w:rsidP="003071E0">
      <w:pPr>
        <w:spacing w:line="480" w:lineRule="auto"/>
        <w:rPr>
          <w:noProof/>
        </w:rPr>
      </w:pPr>
      <w:bookmarkStart w:id="91" w:name="_ENREF_91"/>
      <w:r>
        <w:rPr>
          <w:noProof/>
        </w:rPr>
        <w:t>91.</w:t>
      </w:r>
      <w:r>
        <w:rPr>
          <w:noProof/>
        </w:rPr>
        <w:tab/>
        <w:t>Misso ML, Pitt VJ, Jones KM et al</w:t>
      </w:r>
      <w:r w:rsidR="008054B9" w:rsidRPr="000B1702">
        <w:rPr>
          <w:noProof/>
        </w:rPr>
        <w:t>. Quality and consistency of clinical practice guidelines for diagnosis and management of osteoarthritis of the hip and knee: a descriptive overview of published guidelines. Med J Aust. 2008 Oct 6;189(7):394-9.</w:t>
      </w:r>
      <w:bookmarkEnd w:id="91"/>
    </w:p>
    <w:p w14:paraId="230E5365" w14:textId="77777777" w:rsidR="008054B9" w:rsidRPr="000B1702" w:rsidRDefault="008054B9" w:rsidP="003071E0">
      <w:pPr>
        <w:spacing w:line="480" w:lineRule="auto"/>
        <w:rPr>
          <w:noProof/>
        </w:rPr>
      </w:pPr>
      <w:bookmarkStart w:id="92" w:name="_ENREF_92"/>
      <w:r w:rsidRPr="000B1702">
        <w:rPr>
          <w:noProof/>
        </w:rPr>
        <w:t>92.</w:t>
      </w:r>
      <w:r w:rsidR="00376E88">
        <w:rPr>
          <w:noProof/>
        </w:rPr>
        <w:tab/>
        <w:t>Shiffman RN, Dixon J, Brandt C</w:t>
      </w:r>
      <w:r w:rsidRPr="000B1702">
        <w:rPr>
          <w:noProof/>
        </w:rPr>
        <w:t xml:space="preserve"> et al. The GuideLine Implementability Appraisal (GLIA): development of an instrument to identify obstacles to guideline implementation. BMC Med Inform Decis Mak. 2005;5:23.</w:t>
      </w:r>
      <w:bookmarkEnd w:id="92"/>
    </w:p>
    <w:p w14:paraId="77A1FF0A" w14:textId="77777777" w:rsidR="008054B9" w:rsidRPr="000B1702" w:rsidRDefault="008054B9" w:rsidP="003071E0">
      <w:pPr>
        <w:spacing w:line="480" w:lineRule="auto"/>
        <w:rPr>
          <w:noProof/>
        </w:rPr>
      </w:pPr>
      <w:bookmarkStart w:id="93" w:name="_ENREF_93"/>
      <w:r w:rsidRPr="000B1702">
        <w:rPr>
          <w:noProof/>
        </w:rPr>
        <w:t>93.</w:t>
      </w:r>
      <w:r w:rsidRPr="000B1702">
        <w:rPr>
          <w:noProof/>
        </w:rPr>
        <w:tab/>
        <w:t xml:space="preserve">McGowan BS, Wasko M, Vartabedian BS </w:t>
      </w:r>
      <w:r w:rsidR="00376E88">
        <w:rPr>
          <w:noProof/>
        </w:rPr>
        <w:t>et al</w:t>
      </w:r>
      <w:r w:rsidRPr="000B1702">
        <w:rPr>
          <w:noProof/>
        </w:rPr>
        <w:t>. Understanding the factors that influence the adoption and meaningful use of social media by physicians to share medical information. J Med Internet Res. 2012;14(5):e117.</w:t>
      </w:r>
      <w:bookmarkEnd w:id="93"/>
    </w:p>
    <w:p w14:paraId="1CC20910" w14:textId="77777777" w:rsidR="008054B9" w:rsidRPr="000B1702" w:rsidRDefault="008054B9" w:rsidP="003071E0">
      <w:pPr>
        <w:spacing w:line="480" w:lineRule="auto"/>
        <w:rPr>
          <w:noProof/>
        </w:rPr>
      </w:pPr>
      <w:bookmarkStart w:id="94" w:name="_ENREF_94"/>
      <w:r w:rsidRPr="000B1702">
        <w:rPr>
          <w:noProof/>
        </w:rPr>
        <w:t>94.</w:t>
      </w:r>
      <w:r w:rsidRPr="000B1702">
        <w:rPr>
          <w:noProof/>
        </w:rPr>
        <w:tab/>
        <w:t>Palmer S, Torgerson DJ. Economic notes: definitions of efficiency. BMJ. 1999 Apr 24;318(7191):1136.</w:t>
      </w:r>
      <w:bookmarkEnd w:id="94"/>
    </w:p>
    <w:p w14:paraId="5AE269FA" w14:textId="77777777" w:rsidR="008054B9" w:rsidRPr="000B1702" w:rsidRDefault="008054B9" w:rsidP="003071E0">
      <w:pPr>
        <w:spacing w:line="480" w:lineRule="auto"/>
        <w:rPr>
          <w:noProof/>
        </w:rPr>
      </w:pPr>
      <w:bookmarkStart w:id="95" w:name="_ENREF_95"/>
      <w:r w:rsidRPr="000B1702">
        <w:rPr>
          <w:noProof/>
        </w:rPr>
        <w:t>95.</w:t>
      </w:r>
      <w:r w:rsidRPr="000B1702">
        <w:rPr>
          <w:noProof/>
        </w:rPr>
        <w:tab/>
        <w:t>Pinto D, Robertson MC, Hansen P</w:t>
      </w:r>
      <w:r w:rsidR="00376E88">
        <w:rPr>
          <w:noProof/>
        </w:rPr>
        <w:t xml:space="preserve"> et al.</w:t>
      </w:r>
      <w:r w:rsidRPr="000B1702">
        <w:rPr>
          <w:noProof/>
        </w:rPr>
        <w:t xml:space="preserve"> Cost-effectiveness of nonpharmacologic, nonsurgical interventions for hip and/or knee osteoarthritis: systematic review. Value Health. 2012 Jan;15(1):1-12.</w:t>
      </w:r>
      <w:bookmarkEnd w:id="95"/>
    </w:p>
    <w:p w14:paraId="3B087A61" w14:textId="77777777" w:rsidR="008054B9" w:rsidRPr="000B1702" w:rsidRDefault="008054B9" w:rsidP="003071E0">
      <w:pPr>
        <w:spacing w:line="480" w:lineRule="auto"/>
        <w:rPr>
          <w:noProof/>
        </w:rPr>
      </w:pPr>
      <w:bookmarkStart w:id="96" w:name="_ENREF_96"/>
      <w:r w:rsidRPr="000B1702">
        <w:rPr>
          <w:noProof/>
        </w:rPr>
        <w:t>96.</w:t>
      </w:r>
      <w:r w:rsidRPr="000B1702">
        <w:rPr>
          <w:noProof/>
        </w:rPr>
        <w:tab/>
        <w:t>Segal L, Day, S., Chapman</w:t>
      </w:r>
      <w:r w:rsidR="00376E88">
        <w:rPr>
          <w:noProof/>
        </w:rPr>
        <w:t>, A et al.</w:t>
      </w:r>
      <w:r w:rsidRPr="000B1702">
        <w:rPr>
          <w:noProof/>
        </w:rPr>
        <w:t xml:space="preserve"> Can we reduce disease burden from osteoarthritis? An evidence-based priority-setting model. Medical Journal of Australia. 2004;180(5):S11-S7.</w:t>
      </w:r>
      <w:bookmarkEnd w:id="96"/>
    </w:p>
    <w:p w14:paraId="4F4BBDEB" w14:textId="77777777" w:rsidR="008054B9" w:rsidRPr="000B1702" w:rsidRDefault="008054B9" w:rsidP="003071E0">
      <w:pPr>
        <w:spacing w:line="480" w:lineRule="auto"/>
        <w:rPr>
          <w:noProof/>
        </w:rPr>
      </w:pPr>
      <w:bookmarkStart w:id="97" w:name="_ENREF_97"/>
      <w:r w:rsidRPr="000B1702">
        <w:rPr>
          <w:noProof/>
        </w:rPr>
        <w:t>97.</w:t>
      </w:r>
      <w:r w:rsidRPr="000B1702">
        <w:rPr>
          <w:noProof/>
        </w:rPr>
        <w:tab/>
        <w:t>Andrews G, Simonella L, Lapsley H</w:t>
      </w:r>
      <w:r w:rsidR="00DA1532">
        <w:rPr>
          <w:noProof/>
        </w:rPr>
        <w:t xml:space="preserve"> et al.</w:t>
      </w:r>
      <w:r w:rsidRPr="000B1702">
        <w:rPr>
          <w:noProof/>
        </w:rPr>
        <w:t xml:space="preserve"> Evidence-based medicine is affordable: the cost-effectiveness of current compared with optimal treatment in rheumatoid and osteoarthritis. Journal of Rheumatology 2006;33(4):671-80.</w:t>
      </w:r>
      <w:bookmarkEnd w:id="97"/>
    </w:p>
    <w:p w14:paraId="27C1C2AE" w14:textId="77777777" w:rsidR="008054B9" w:rsidRPr="000B1702" w:rsidRDefault="008054B9" w:rsidP="003071E0">
      <w:pPr>
        <w:spacing w:line="480" w:lineRule="auto"/>
        <w:rPr>
          <w:noProof/>
        </w:rPr>
      </w:pPr>
      <w:bookmarkStart w:id="98" w:name="_ENREF_98"/>
      <w:r w:rsidRPr="000B1702">
        <w:rPr>
          <w:noProof/>
        </w:rPr>
        <w:t>98.</w:t>
      </w:r>
      <w:r w:rsidRPr="000B1702">
        <w:rPr>
          <w:noProof/>
        </w:rPr>
        <w:tab/>
        <w:t>Iezzoni LI. Assessing quality using administrative data. Annals of Internal Medicine. 1997 Oct 15;127(8 Pt 2):666-74.</w:t>
      </w:r>
      <w:bookmarkEnd w:id="98"/>
    </w:p>
    <w:p w14:paraId="4F564CAD" w14:textId="77777777" w:rsidR="008054B9" w:rsidRPr="000B1702" w:rsidRDefault="008054B9" w:rsidP="003071E0">
      <w:pPr>
        <w:spacing w:line="480" w:lineRule="auto"/>
        <w:rPr>
          <w:noProof/>
        </w:rPr>
      </w:pPr>
      <w:bookmarkStart w:id="99" w:name="_ENREF_99"/>
      <w:r w:rsidRPr="000B1702">
        <w:rPr>
          <w:noProof/>
        </w:rPr>
        <w:t>99.</w:t>
      </w:r>
      <w:r w:rsidRPr="000B1702">
        <w:rPr>
          <w:noProof/>
        </w:rPr>
        <w:tab/>
        <w:t xml:space="preserve">Wagner EH, Bennett SM, Austin BT </w:t>
      </w:r>
      <w:r w:rsidR="00DA1532">
        <w:rPr>
          <w:noProof/>
        </w:rPr>
        <w:t>et al</w:t>
      </w:r>
      <w:r w:rsidRPr="000B1702">
        <w:rPr>
          <w:noProof/>
        </w:rPr>
        <w:t>. Finding common ground: patient-centeredness and evidence-based chronic illness care. J Altern Complement Med. 2005;11 Suppl 1:S7-15.</w:t>
      </w:r>
      <w:bookmarkEnd w:id="99"/>
    </w:p>
    <w:p w14:paraId="3CC85CEB" w14:textId="77777777" w:rsidR="008054B9" w:rsidRPr="000B1702" w:rsidRDefault="008054B9" w:rsidP="003071E0">
      <w:pPr>
        <w:spacing w:line="480" w:lineRule="auto"/>
        <w:rPr>
          <w:noProof/>
        </w:rPr>
      </w:pPr>
      <w:bookmarkStart w:id="100" w:name="_ENREF_100"/>
      <w:r w:rsidRPr="000B1702">
        <w:rPr>
          <w:noProof/>
        </w:rPr>
        <w:t>100.</w:t>
      </w:r>
      <w:r w:rsidRPr="000B1702">
        <w:rPr>
          <w:noProof/>
        </w:rPr>
        <w:tab/>
        <w:t xml:space="preserve">Sackett DL, Rosenberg WM, Gray JA </w:t>
      </w:r>
      <w:r w:rsidR="00DA1532">
        <w:rPr>
          <w:noProof/>
        </w:rPr>
        <w:t>et al</w:t>
      </w:r>
      <w:r w:rsidRPr="000B1702">
        <w:rPr>
          <w:noProof/>
        </w:rPr>
        <w:t>. Evidence based medicine: what it is and what it isn't. BMJ. 1996 Jan 13;312(7023):71-2.</w:t>
      </w:r>
      <w:bookmarkEnd w:id="100"/>
    </w:p>
    <w:p w14:paraId="6DA17591" w14:textId="77777777" w:rsidR="008054B9" w:rsidRPr="000B1702" w:rsidRDefault="008054B9" w:rsidP="003071E0">
      <w:pPr>
        <w:spacing w:line="480" w:lineRule="auto"/>
        <w:rPr>
          <w:noProof/>
        </w:rPr>
      </w:pPr>
      <w:bookmarkStart w:id="101" w:name="_ENREF_101"/>
      <w:r w:rsidRPr="000B1702">
        <w:rPr>
          <w:noProof/>
        </w:rPr>
        <w:t>101.</w:t>
      </w:r>
      <w:r w:rsidRPr="000B1702">
        <w:rPr>
          <w:noProof/>
        </w:rPr>
        <w:tab/>
        <w:t>Audet AM, Davis K, Schoenbaum SC. Adoption of patient-centered care practices by physicians: results from a national survey. Archives of Internal Medicine. 2006 Apr 10;166(7):754-9.</w:t>
      </w:r>
      <w:bookmarkEnd w:id="101"/>
    </w:p>
    <w:p w14:paraId="66281F7A" w14:textId="77777777" w:rsidR="008054B9" w:rsidRPr="000B1702" w:rsidRDefault="008054B9" w:rsidP="003071E0">
      <w:pPr>
        <w:spacing w:line="480" w:lineRule="auto"/>
        <w:rPr>
          <w:noProof/>
        </w:rPr>
      </w:pPr>
      <w:bookmarkStart w:id="102" w:name="_ENREF_102"/>
      <w:r w:rsidRPr="000B1702">
        <w:rPr>
          <w:noProof/>
        </w:rPr>
        <w:t>102.</w:t>
      </w:r>
      <w:r w:rsidRPr="000B1702">
        <w:rPr>
          <w:noProof/>
        </w:rPr>
        <w:tab/>
        <w:t xml:space="preserve">Rosemann T, Laux G, Szecsenyi J </w:t>
      </w:r>
      <w:r w:rsidR="00DA1532">
        <w:rPr>
          <w:noProof/>
        </w:rPr>
        <w:t>et al</w:t>
      </w:r>
      <w:r w:rsidRPr="000B1702">
        <w:rPr>
          <w:noProof/>
        </w:rPr>
        <w:t>. The Chronic Care Model: congruency and predictors among primary care patients with osteoarthritis. Quality &amp; safety in health care. 2008 Dec;17(6):442-6.</w:t>
      </w:r>
      <w:bookmarkEnd w:id="102"/>
    </w:p>
    <w:p w14:paraId="2C4C896D" w14:textId="77777777" w:rsidR="008054B9" w:rsidRPr="000B1702" w:rsidRDefault="008054B9" w:rsidP="003071E0">
      <w:pPr>
        <w:spacing w:line="480" w:lineRule="auto"/>
        <w:rPr>
          <w:noProof/>
        </w:rPr>
      </w:pPr>
      <w:bookmarkStart w:id="103" w:name="_ENREF_103"/>
      <w:r w:rsidRPr="000B1702">
        <w:rPr>
          <w:noProof/>
        </w:rPr>
        <w:t>103.</w:t>
      </w:r>
      <w:r w:rsidRPr="000B1702">
        <w:rPr>
          <w:noProof/>
        </w:rPr>
        <w:tab/>
        <w:t xml:space="preserve">Brand C, Hunter D, Hinman R </w:t>
      </w:r>
      <w:r w:rsidR="00DA1532">
        <w:rPr>
          <w:noProof/>
        </w:rPr>
        <w:t>et al</w:t>
      </w:r>
      <w:r w:rsidRPr="000B1702">
        <w:rPr>
          <w:noProof/>
        </w:rPr>
        <w:t>. Improving care for people with osteoarthritis of the hip and knee: how has national policy for osteoarthritis been translated into service models in Australia? Int J Rheum Dis. 2011 May;14(2):181-90.</w:t>
      </w:r>
      <w:bookmarkEnd w:id="103"/>
    </w:p>
    <w:p w14:paraId="0F40E8FA" w14:textId="77777777" w:rsidR="008054B9" w:rsidRPr="000B1702" w:rsidRDefault="008054B9" w:rsidP="003071E0">
      <w:pPr>
        <w:spacing w:line="480" w:lineRule="auto"/>
        <w:rPr>
          <w:noProof/>
        </w:rPr>
      </w:pPr>
      <w:bookmarkStart w:id="104" w:name="_ENREF_104"/>
      <w:r w:rsidRPr="000B1702">
        <w:rPr>
          <w:noProof/>
        </w:rPr>
        <w:t>104.</w:t>
      </w:r>
      <w:r w:rsidRPr="000B1702">
        <w:rPr>
          <w:noProof/>
        </w:rPr>
        <w:tab/>
        <w:t>Brand C, Cox S. Systems for implementing best practice for a chronic disease: management of osteoarthritis of the hip and knee. Intern Med J. 2006 Mar;36(3):170-9.</w:t>
      </w:r>
      <w:bookmarkEnd w:id="104"/>
    </w:p>
    <w:p w14:paraId="48367225" w14:textId="77777777" w:rsidR="008054B9" w:rsidRPr="000B1702" w:rsidRDefault="008054B9" w:rsidP="003071E0">
      <w:pPr>
        <w:spacing w:line="480" w:lineRule="auto"/>
        <w:rPr>
          <w:noProof/>
        </w:rPr>
      </w:pPr>
      <w:bookmarkStart w:id="105" w:name="_ENREF_105"/>
      <w:r w:rsidRPr="000B1702">
        <w:rPr>
          <w:noProof/>
        </w:rPr>
        <w:t>105.</w:t>
      </w:r>
      <w:r w:rsidRPr="000B1702">
        <w:rPr>
          <w:noProof/>
        </w:rPr>
        <w:tab/>
        <w:t xml:space="preserve">Tsai AC, Morton SC, Mangione CM </w:t>
      </w:r>
      <w:r w:rsidR="00DF48FC">
        <w:rPr>
          <w:noProof/>
        </w:rPr>
        <w:t>et al</w:t>
      </w:r>
      <w:r w:rsidRPr="000B1702">
        <w:rPr>
          <w:noProof/>
        </w:rPr>
        <w:t>. A meta-analysis of interventions to improve care for chronic illnesses. Am J Manag Care 2005 Aug;11(8):478-88.</w:t>
      </w:r>
      <w:bookmarkEnd w:id="105"/>
    </w:p>
    <w:p w14:paraId="6BC5DF8A" w14:textId="77777777" w:rsidR="008054B9" w:rsidRPr="000B1702" w:rsidRDefault="008054B9" w:rsidP="003071E0">
      <w:pPr>
        <w:spacing w:line="480" w:lineRule="auto"/>
        <w:rPr>
          <w:noProof/>
        </w:rPr>
      </w:pPr>
      <w:bookmarkStart w:id="106" w:name="_ENREF_106"/>
      <w:r w:rsidRPr="000B1702">
        <w:rPr>
          <w:noProof/>
        </w:rPr>
        <w:t>106.</w:t>
      </w:r>
      <w:r w:rsidRPr="000B1702">
        <w:rPr>
          <w:noProof/>
        </w:rPr>
        <w:tab/>
        <w:t>Bodenheimer T, Wagner EH, Grumbach K. Improving primary care for patients with chronic illness: the chronic care model, Part 2. JAMA : the journal of the American Medical Association. 2002 Oct 16;288(15):1909-14.</w:t>
      </w:r>
      <w:bookmarkEnd w:id="106"/>
    </w:p>
    <w:p w14:paraId="211D92C4" w14:textId="77777777" w:rsidR="008054B9" w:rsidRPr="000B1702" w:rsidRDefault="008054B9" w:rsidP="003071E0">
      <w:pPr>
        <w:spacing w:line="480" w:lineRule="auto"/>
        <w:rPr>
          <w:noProof/>
        </w:rPr>
      </w:pPr>
      <w:bookmarkStart w:id="107" w:name="_ENREF_107"/>
      <w:r w:rsidRPr="000B1702">
        <w:rPr>
          <w:noProof/>
        </w:rPr>
        <w:t>107.</w:t>
      </w:r>
      <w:r w:rsidRPr="000B1702">
        <w:rPr>
          <w:noProof/>
        </w:rPr>
        <w:tab/>
        <w:t>Wagner EH, Austin BT, Von Korff M. Organizing care for patients with chronic illness. Milbank Q. 1996;74(4):511-44.</w:t>
      </w:r>
      <w:bookmarkEnd w:id="107"/>
    </w:p>
    <w:p w14:paraId="069436C2" w14:textId="77777777" w:rsidR="008054B9" w:rsidRPr="000B1702" w:rsidRDefault="008054B9" w:rsidP="003071E0">
      <w:pPr>
        <w:spacing w:line="480" w:lineRule="auto"/>
        <w:rPr>
          <w:noProof/>
        </w:rPr>
      </w:pPr>
      <w:bookmarkStart w:id="108" w:name="_ENREF_108"/>
      <w:r w:rsidRPr="000B1702">
        <w:rPr>
          <w:noProof/>
        </w:rPr>
        <w:t>108.</w:t>
      </w:r>
      <w:r w:rsidRPr="000B1702">
        <w:rPr>
          <w:noProof/>
        </w:rPr>
        <w:tab/>
        <w:t xml:space="preserve">Brand CA, Amatya B, Gordon B </w:t>
      </w:r>
      <w:r w:rsidR="00DF48FC">
        <w:rPr>
          <w:noProof/>
        </w:rPr>
        <w:t>et al</w:t>
      </w:r>
      <w:r w:rsidRPr="000B1702">
        <w:rPr>
          <w:noProof/>
        </w:rPr>
        <w:t>. Redesigning care for chronic conditions: improving hospital-based ambulatory care for people with osteoarthritis of the hip and knee. Intern Med J. 2010 Jun;40(6):427-36.</w:t>
      </w:r>
      <w:bookmarkEnd w:id="108"/>
    </w:p>
    <w:p w14:paraId="7F0563E0" w14:textId="77777777" w:rsidR="008054B9" w:rsidRPr="000B1702" w:rsidRDefault="008054B9" w:rsidP="003071E0">
      <w:pPr>
        <w:spacing w:line="480" w:lineRule="auto"/>
        <w:rPr>
          <w:noProof/>
        </w:rPr>
      </w:pPr>
      <w:bookmarkStart w:id="109" w:name="_ENREF_109"/>
      <w:r w:rsidRPr="000B1702">
        <w:rPr>
          <w:noProof/>
        </w:rPr>
        <w:t>109.</w:t>
      </w:r>
      <w:r w:rsidRPr="000B1702">
        <w:rPr>
          <w:noProof/>
        </w:rPr>
        <w:tab/>
        <w:t>Victorian Government Department of Health. Orthopedic Waiting List Project:Summary Report. Melbourne2006 July 2006.</w:t>
      </w:r>
      <w:bookmarkEnd w:id="109"/>
    </w:p>
    <w:p w14:paraId="0CD57972" w14:textId="77777777" w:rsidR="008054B9" w:rsidRPr="000B1702" w:rsidRDefault="008054B9" w:rsidP="003071E0">
      <w:pPr>
        <w:spacing w:line="480" w:lineRule="auto"/>
        <w:rPr>
          <w:noProof/>
        </w:rPr>
      </w:pPr>
      <w:bookmarkStart w:id="110" w:name="_ENREF_110"/>
      <w:r w:rsidRPr="000B1702">
        <w:rPr>
          <w:noProof/>
        </w:rPr>
        <w:t>110.</w:t>
      </w:r>
      <w:r w:rsidRPr="000B1702">
        <w:rPr>
          <w:noProof/>
        </w:rPr>
        <w:tab/>
        <w:t xml:space="preserve">Taggart J, Williams A, Dennis </w:t>
      </w:r>
      <w:r w:rsidR="00DF48FC" w:rsidRPr="000B1702">
        <w:rPr>
          <w:noProof/>
        </w:rPr>
        <w:t>S</w:t>
      </w:r>
      <w:r w:rsidR="00DF48FC">
        <w:rPr>
          <w:noProof/>
        </w:rPr>
        <w:t xml:space="preserve"> </w:t>
      </w:r>
      <w:r w:rsidRPr="000B1702">
        <w:rPr>
          <w:noProof/>
        </w:rPr>
        <w:t>et al. A systematic review of interventions in primary care to improve health literacy for chronic disease behavioral risk factors. BMC Fam Pract. 2012;13:49.</w:t>
      </w:r>
      <w:bookmarkEnd w:id="110"/>
    </w:p>
    <w:p w14:paraId="74A0C1A2" w14:textId="77777777" w:rsidR="008054B9" w:rsidRPr="000B1702" w:rsidRDefault="008054B9" w:rsidP="003071E0">
      <w:pPr>
        <w:spacing w:line="480" w:lineRule="auto"/>
        <w:rPr>
          <w:noProof/>
        </w:rPr>
      </w:pPr>
      <w:bookmarkStart w:id="111" w:name="_ENREF_111"/>
      <w:r w:rsidRPr="000B1702">
        <w:rPr>
          <w:noProof/>
        </w:rPr>
        <w:t>111.</w:t>
      </w:r>
      <w:r w:rsidRPr="000B1702">
        <w:rPr>
          <w:noProof/>
        </w:rPr>
        <w:tab/>
        <w:t>Glasgow RE, Orleans CT, Wagner EH. Does the chronic care model serve also as a template for improving prevention? Milbank Q.  2001;79(4):579-612, iv-v.</w:t>
      </w:r>
      <w:bookmarkEnd w:id="111"/>
    </w:p>
    <w:p w14:paraId="56315F08" w14:textId="77777777" w:rsidR="008054B9" w:rsidRPr="000B1702" w:rsidRDefault="008054B9" w:rsidP="003071E0">
      <w:pPr>
        <w:spacing w:line="480" w:lineRule="auto"/>
        <w:rPr>
          <w:noProof/>
        </w:rPr>
      </w:pPr>
      <w:bookmarkStart w:id="112" w:name="_ENREF_112"/>
      <w:r w:rsidRPr="000B1702">
        <w:rPr>
          <w:noProof/>
        </w:rPr>
        <w:t>112.</w:t>
      </w:r>
      <w:r w:rsidRPr="000B1702">
        <w:rPr>
          <w:noProof/>
        </w:rPr>
        <w:tab/>
        <w:t>Barr VJ, Robinson S, Marin-Link B et al. The expanded Chronic Care Model: an integration of concepts and strategies from population health promotion and the Chronic Care Model. Hosp Q. 2003;7(1):73-82.</w:t>
      </w:r>
      <w:bookmarkEnd w:id="112"/>
    </w:p>
    <w:p w14:paraId="3F17A76C" w14:textId="77777777" w:rsidR="008054B9" w:rsidRPr="000B1702" w:rsidRDefault="008054B9" w:rsidP="003071E0">
      <w:pPr>
        <w:spacing w:line="480" w:lineRule="auto"/>
        <w:rPr>
          <w:noProof/>
        </w:rPr>
      </w:pPr>
      <w:bookmarkStart w:id="113" w:name="_ENREF_113"/>
      <w:r w:rsidRPr="000B1702">
        <w:rPr>
          <w:noProof/>
        </w:rPr>
        <w:t>113.</w:t>
      </w:r>
      <w:r w:rsidRPr="000B1702">
        <w:rPr>
          <w:noProof/>
        </w:rPr>
        <w:tab/>
        <w:t>Zwar N, Harris M, Griffiths R et al. A systematic review of chronic disease management. Sydney: Research Centre for Primary Health Care and Equity, School of Public Health and Community Medicine.2006 2006.</w:t>
      </w:r>
      <w:bookmarkEnd w:id="113"/>
    </w:p>
    <w:p w14:paraId="097EBB32" w14:textId="77777777" w:rsidR="008054B9" w:rsidRPr="000B1702" w:rsidRDefault="008054B9" w:rsidP="003071E0">
      <w:pPr>
        <w:spacing w:line="480" w:lineRule="auto"/>
        <w:rPr>
          <w:noProof/>
        </w:rPr>
      </w:pPr>
      <w:bookmarkStart w:id="114" w:name="_ENREF_114"/>
      <w:r w:rsidRPr="000B1702">
        <w:rPr>
          <w:noProof/>
        </w:rPr>
        <w:t>114.</w:t>
      </w:r>
      <w:r w:rsidRPr="000B1702">
        <w:rPr>
          <w:noProof/>
        </w:rPr>
        <w:tab/>
        <w:t>Centers for Disease Control and Prevention (CDC). Sorting through the evidence for the arthritis self-management program and the chronic diease self-management program. Atlanta2011.</w:t>
      </w:r>
      <w:bookmarkEnd w:id="114"/>
    </w:p>
    <w:p w14:paraId="5DE02249" w14:textId="77777777" w:rsidR="008054B9" w:rsidRPr="000B1702" w:rsidRDefault="008054B9" w:rsidP="003071E0">
      <w:pPr>
        <w:spacing w:line="480" w:lineRule="auto"/>
        <w:rPr>
          <w:noProof/>
        </w:rPr>
      </w:pPr>
      <w:bookmarkStart w:id="115" w:name="_ENREF_115"/>
      <w:r w:rsidRPr="000B1702">
        <w:rPr>
          <w:noProof/>
        </w:rPr>
        <w:t>115.</w:t>
      </w:r>
      <w:r w:rsidRPr="000B1702">
        <w:rPr>
          <w:noProof/>
        </w:rPr>
        <w:tab/>
        <w:t xml:space="preserve">Hill J, Lewis M, Bird H. Do OA patients gain additional benefit from care from a clinical nurse specialist?--a randomized clinical trial. Rheumatology. 2009 </w:t>
      </w:r>
      <w:r w:rsidR="00DF48FC">
        <w:rPr>
          <w:noProof/>
        </w:rPr>
        <w:t>J</w:t>
      </w:r>
      <w:r w:rsidRPr="000B1702">
        <w:rPr>
          <w:noProof/>
        </w:rPr>
        <w:t>un;48(6):658-64.</w:t>
      </w:r>
      <w:bookmarkEnd w:id="115"/>
    </w:p>
    <w:p w14:paraId="7A904267" w14:textId="77777777" w:rsidR="008054B9" w:rsidRPr="000B1702" w:rsidRDefault="008054B9" w:rsidP="003071E0">
      <w:pPr>
        <w:spacing w:line="480" w:lineRule="auto"/>
        <w:rPr>
          <w:noProof/>
        </w:rPr>
      </w:pPr>
      <w:bookmarkStart w:id="116" w:name="_ENREF_116"/>
      <w:r w:rsidRPr="000B1702">
        <w:rPr>
          <w:noProof/>
        </w:rPr>
        <w:t>116.</w:t>
      </w:r>
      <w:r w:rsidRPr="000B1702">
        <w:rPr>
          <w:noProof/>
        </w:rPr>
        <w:tab/>
        <w:t xml:space="preserve">Victor CR, Triggs E, Ross F </w:t>
      </w:r>
      <w:r w:rsidR="00DF48FC">
        <w:rPr>
          <w:noProof/>
        </w:rPr>
        <w:t>et al</w:t>
      </w:r>
      <w:r w:rsidRPr="000B1702">
        <w:rPr>
          <w:noProof/>
        </w:rPr>
        <w:t>. Lack of benefit of a primary care-based nurse-led education programme for people with osteoarthritis of the knee. Clinical Rheumatology. 2005 Aug;24(4):358-64.</w:t>
      </w:r>
      <w:bookmarkEnd w:id="116"/>
    </w:p>
    <w:p w14:paraId="0B505B3D" w14:textId="77777777" w:rsidR="008054B9" w:rsidRPr="000B1702" w:rsidRDefault="008054B9" w:rsidP="003071E0">
      <w:pPr>
        <w:spacing w:line="480" w:lineRule="auto"/>
        <w:rPr>
          <w:noProof/>
        </w:rPr>
      </w:pPr>
      <w:bookmarkStart w:id="117" w:name="_ENREF_117"/>
      <w:r w:rsidRPr="000B1702">
        <w:rPr>
          <w:noProof/>
        </w:rPr>
        <w:t>117.</w:t>
      </w:r>
      <w:r w:rsidRPr="000B1702">
        <w:rPr>
          <w:noProof/>
        </w:rPr>
        <w:tab/>
        <w:t xml:space="preserve">Wetzels R, van Weel C, Grol R </w:t>
      </w:r>
      <w:r w:rsidR="00DF48FC">
        <w:rPr>
          <w:noProof/>
        </w:rPr>
        <w:t>et al</w:t>
      </w:r>
      <w:r w:rsidRPr="000B1702">
        <w:rPr>
          <w:noProof/>
        </w:rPr>
        <w:t>. Family practice nurses supporting self-management in older patients with mild osteoarthritis: a randomized trial. BMC Fam Pract. 2008;9:7.</w:t>
      </w:r>
      <w:bookmarkEnd w:id="117"/>
    </w:p>
    <w:p w14:paraId="24C8E357" w14:textId="77777777" w:rsidR="008054B9" w:rsidRPr="000B1702" w:rsidRDefault="008054B9" w:rsidP="003071E0">
      <w:pPr>
        <w:spacing w:line="480" w:lineRule="auto"/>
        <w:rPr>
          <w:noProof/>
        </w:rPr>
      </w:pPr>
      <w:bookmarkStart w:id="118" w:name="_ENREF_118"/>
      <w:r w:rsidRPr="000B1702">
        <w:rPr>
          <w:noProof/>
        </w:rPr>
        <w:t>118.</w:t>
      </w:r>
      <w:r w:rsidRPr="000B1702">
        <w:rPr>
          <w:noProof/>
        </w:rPr>
        <w:tab/>
        <w:t>Hunt MA, Keefe FJ, Bryant C et al. A physiotherapist-delivered, combined exercise and pain coping skills training intervention for individuals with knee osteoarthritis: A pilot study. The Knee. 2012 Aug 23.</w:t>
      </w:r>
      <w:bookmarkEnd w:id="118"/>
    </w:p>
    <w:p w14:paraId="49C65294" w14:textId="77777777" w:rsidR="008054B9" w:rsidRPr="000B1702" w:rsidRDefault="008054B9" w:rsidP="003071E0">
      <w:pPr>
        <w:spacing w:line="480" w:lineRule="auto"/>
        <w:rPr>
          <w:noProof/>
        </w:rPr>
      </w:pPr>
      <w:bookmarkStart w:id="119" w:name="_ENREF_119"/>
      <w:r w:rsidRPr="000B1702">
        <w:rPr>
          <w:noProof/>
        </w:rPr>
        <w:t>119.</w:t>
      </w:r>
      <w:r w:rsidRPr="000B1702">
        <w:rPr>
          <w:noProof/>
        </w:rPr>
        <w:tab/>
        <w:t>Bennell KL, Ahamed Y, Bryant C et al. A physiotherapist-delivered integrated exercise and pain coping skills training intervention for individuals with knee osteoarthritis: a randomised controlled trial protocol. BMC Musculoskeletal Disorders. 2012 Jul 24;13(1):129.</w:t>
      </w:r>
      <w:bookmarkEnd w:id="119"/>
    </w:p>
    <w:p w14:paraId="585AC6AA" w14:textId="77777777" w:rsidR="008054B9" w:rsidRPr="000B1702" w:rsidRDefault="008054B9" w:rsidP="003071E0">
      <w:pPr>
        <w:spacing w:line="480" w:lineRule="auto"/>
        <w:rPr>
          <w:noProof/>
        </w:rPr>
      </w:pPr>
      <w:bookmarkStart w:id="120" w:name="_ENREF_120"/>
      <w:r w:rsidRPr="000B1702">
        <w:rPr>
          <w:noProof/>
        </w:rPr>
        <w:t>120.</w:t>
      </w:r>
      <w:r w:rsidRPr="000B1702">
        <w:rPr>
          <w:noProof/>
        </w:rPr>
        <w:tab/>
        <w:t>Lau AY, Siek KA, Fernandez-Luque L et al. The Role of Social Media for Patients and Consumer Health. Contribution of the IMIA Consumer Health Informatics Working Group. Yearb Med Inform. 2011;6(1):131-8.</w:t>
      </w:r>
      <w:bookmarkEnd w:id="120"/>
    </w:p>
    <w:p w14:paraId="2D844BDD" w14:textId="77777777" w:rsidR="008054B9" w:rsidRPr="000B1702" w:rsidRDefault="008054B9" w:rsidP="003071E0">
      <w:pPr>
        <w:spacing w:line="480" w:lineRule="auto"/>
        <w:rPr>
          <w:noProof/>
        </w:rPr>
      </w:pPr>
      <w:bookmarkStart w:id="121" w:name="_ENREF_121"/>
      <w:r w:rsidRPr="000B1702">
        <w:rPr>
          <w:noProof/>
        </w:rPr>
        <w:t>121.</w:t>
      </w:r>
      <w:r w:rsidRPr="000B1702">
        <w:rPr>
          <w:noProof/>
        </w:rPr>
        <w:tab/>
        <w:t>Greaney ML, Sprunck-Harrild K, Bennett GG et al. Use of email and telephone prompts to increase self-monitoring in a Web-based intervention: randomized controlled trial. J Med Internet Res. 2012;14(4):e96.</w:t>
      </w:r>
      <w:bookmarkEnd w:id="121"/>
    </w:p>
    <w:p w14:paraId="475F2A89" w14:textId="77777777" w:rsidR="008054B9" w:rsidRDefault="008054B9" w:rsidP="003071E0">
      <w:pPr>
        <w:spacing w:line="480" w:lineRule="auto"/>
        <w:rPr>
          <w:b/>
          <w:noProof/>
        </w:rPr>
      </w:pPr>
    </w:p>
    <w:p w14:paraId="28EFAE06" w14:textId="77777777" w:rsidR="008054B9" w:rsidRPr="00AE0E83" w:rsidRDefault="008054B9" w:rsidP="003071E0">
      <w:pPr>
        <w:spacing w:line="480" w:lineRule="auto"/>
        <w:rPr>
          <w:b/>
          <w:sz w:val="22"/>
        </w:rPr>
      </w:pPr>
    </w:p>
    <w:p w14:paraId="0DF3F75F" w14:textId="77777777" w:rsidR="003071E0" w:rsidRDefault="003071E0"/>
    <w:sectPr w:rsidR="003071E0" w:rsidSect="00715DB7">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791807" w14:textId="77777777" w:rsidR="00000000" w:rsidRDefault="005A256D">
      <w:r>
        <w:separator/>
      </w:r>
    </w:p>
  </w:endnote>
  <w:endnote w:type="continuationSeparator" w:id="0">
    <w:p w14:paraId="4CBF7952" w14:textId="77777777" w:rsidR="00000000" w:rsidRDefault="005A25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MS Mincho">
    <w:altName w:val="ＭＳ 明朝"/>
    <w:charset w:val="80"/>
    <w:family w:val="modern"/>
    <w:pitch w:val="fixed"/>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AE2005B" w14:textId="77777777" w:rsidR="00F812FE" w:rsidRDefault="00F812FE" w:rsidP="003071E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B346C09" w14:textId="77777777" w:rsidR="00F812FE" w:rsidRDefault="00F812FE" w:rsidP="003071E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03F75A24" w14:textId="77777777" w:rsidR="00F812FE" w:rsidRDefault="00F812FE" w:rsidP="003071E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A256D">
      <w:rPr>
        <w:rStyle w:val="PageNumber"/>
        <w:noProof/>
      </w:rPr>
      <w:t>1</w:t>
    </w:r>
    <w:r>
      <w:rPr>
        <w:rStyle w:val="PageNumber"/>
      </w:rPr>
      <w:fldChar w:fldCharType="end"/>
    </w:r>
  </w:p>
  <w:p w14:paraId="4349BE57" w14:textId="77777777" w:rsidR="00F812FE" w:rsidRDefault="00F812FE" w:rsidP="003071E0">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706E6D38" w14:textId="77777777" w:rsidR="005A256D" w:rsidRDefault="005A256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65AD29" w14:textId="77777777" w:rsidR="00000000" w:rsidRDefault="005A256D">
      <w:r>
        <w:separator/>
      </w:r>
    </w:p>
  </w:footnote>
  <w:footnote w:type="continuationSeparator" w:id="0">
    <w:p w14:paraId="71A19558" w14:textId="77777777" w:rsidR="00000000" w:rsidRDefault="005A256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75CA50C" w14:textId="77777777" w:rsidR="005A256D" w:rsidRDefault="005A256D">
    <w:pPr>
      <w:pStyle w:val="Header"/>
    </w:pPr>
    <w:r>
      <w:rPr>
        <w:noProof/>
      </w:rPr>
      <w:pict w14:anchorId="6BC91132">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margin-left:0;margin-top:0;width:531.9pt;height:53.15pt;rotation:315;z-index:-251655168;mso-wrap-edited:f;mso-position-horizontal:center;mso-position-horizontal-relative:margin;mso-position-vertical:center;mso-position-vertical-relative:margin" wrapcoords="21295 7909 21203 7605 19863 7605 19071 3042 18949 4259 19193 7605 18705 6388 18522 7909 18279 7605 18096 7909 17791 7605 17243 7909 16542 7605 16420 7909 15902 9430 15567 7909 15141 7301 14410 3346 14196 2433 13739 8214 12978 7605 12155 4867 11881 7909 11820 9430 11576 8214 11058 6388 10937 7909 10205 7605 10084 7909 9870 9735 9535 7909 9139 6997 8956 8822 8621 7909 8225 7301 8134 7909 7829 11256 7494 7909 7128 6997 6915 9126 6093 7605 5788 7909 5544 8214 4813 7301 4722 7909 3564 3042 3320 4259 3290 5476 3442 8518 3046 5171 2985 4867 2711 8214 2223 7909 2193 8214 2315 11256 1766 6692 1584 8214 1736 12169 853 3954 731 3346 304 11864 0 16123 121 17340 426 17340 487 17036 456 13385 792 16123 1431 18861 1614 17645 2193 17340 2223 17340 2589 17340 2711 16428 3473 18861 3686 17645 6062 17340 6093 17036 5940 12777 7159 17949 7677 17340 7768 17036 8530 17645 9139 17340 9261 18253 9566 16732 9657 15819 10876 21904 10937 21600 11241 21295 11302 20991 11211 17340 11302 18253 11637 16732 11729 15819 11911 17036 12338 17340 12460 16123 12582 17036 13161 17949 13282 17036 14044 17949 14562 16732 14562 16732 14410 8518 15080 14602 15659 17645 15872 15515 16816 17949 17456 17340 18187 17949 18583 17340 18675 16428 19132 18861 19376 16732 19406 16123 20076 18253 20229 17340 21600 17340 21478 9735 21295 7909" fillcolor="silver" stroked="f">
          <v:textpath style="font-family:&quot;Times New Roman&quot;;font-size:1pt" string="Author accepted version"/>
        </v:shape>
      </w:pic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FC268F0" w14:textId="77777777" w:rsidR="005A256D" w:rsidRDefault="005A256D">
    <w:pPr>
      <w:pStyle w:val="Header"/>
    </w:pPr>
    <w:r>
      <w:rPr>
        <w:noProof/>
      </w:rPr>
      <w:pict w14:anchorId="1BA59664">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margin-left:0;margin-top:0;width:531.9pt;height:53.15pt;rotation:315;z-index:-251657216;mso-wrap-edited:f;mso-position-horizontal:center;mso-position-horizontal-relative:margin;mso-position-vertical:center;mso-position-vertical-relative:margin" wrapcoords="21295 7909 21203 7605 19863 7605 19071 3042 18949 4259 19193 7605 18705 6388 18522 7909 18279 7605 18096 7909 17791 7605 17243 7909 16542 7605 16420 7909 15902 9430 15567 7909 15141 7301 14410 3346 14196 2433 13739 8214 12978 7605 12155 4867 11881 7909 11820 9430 11576 8214 11058 6388 10937 7909 10205 7605 10084 7909 9870 9735 9535 7909 9139 6997 8956 8822 8621 7909 8225 7301 8134 7909 7829 11256 7494 7909 7128 6997 6915 9126 6093 7605 5788 7909 5544 8214 4813 7301 4722 7909 3564 3042 3320 4259 3290 5476 3442 8518 3046 5171 2985 4867 2711 8214 2223 7909 2193 8214 2315 11256 1766 6692 1584 8214 1736 12169 853 3954 731 3346 304 11864 0 16123 121 17340 426 17340 487 17036 456 13385 792 16123 1431 18861 1614 17645 2193 17340 2223 17340 2589 17340 2711 16428 3473 18861 3686 17645 6062 17340 6093 17036 5940 12777 7159 17949 7677 17340 7768 17036 8530 17645 9139 17340 9261 18253 9566 16732 9657 15819 10876 21904 10937 21600 11241 21295 11302 20991 11211 17340 11302 18253 11637 16732 11729 15819 11911 17036 12338 17340 12460 16123 12582 17036 13161 17949 13282 17036 14044 17949 14562 16732 14562 16732 14410 8518 15080 14602 15659 17645 15872 15515 16816 17949 17456 17340 18187 17949 18583 17340 18675 16428 19132 18861 19376 16732 19406 16123 20076 18253 20229 17340 21600 17340 21478 9735 21295 7909" fillcolor="silver" stroked="f">
          <v:textpath style="font-family:&quot;Times New Roman&quot;;font-size:1pt" string="Author accepted version"/>
        </v:shape>
      </w:pic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46C0030" w14:textId="77777777" w:rsidR="005A256D" w:rsidRDefault="005A256D">
    <w:pPr>
      <w:pStyle w:val="Header"/>
    </w:pPr>
    <w:r>
      <w:rPr>
        <w:noProof/>
      </w:rPr>
      <w:pict w14:anchorId="3A872B1B">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1" type="#_x0000_t136" style="position:absolute;margin-left:0;margin-top:0;width:531.9pt;height:53.15pt;rotation:315;z-index:-251653120;mso-wrap-edited:f;mso-position-horizontal:center;mso-position-horizontal-relative:margin;mso-position-vertical:center;mso-position-vertical-relative:margin" wrapcoords="21295 7909 21203 7605 19863 7605 19071 3042 18949 4259 19193 7605 18705 6388 18522 7909 18279 7605 18096 7909 17791 7605 17243 7909 16542 7605 16420 7909 15902 9430 15567 7909 15141 7301 14410 3346 14196 2433 13739 8214 12978 7605 12155 4867 11881 7909 11820 9430 11576 8214 11058 6388 10937 7909 10205 7605 10084 7909 9870 9735 9535 7909 9139 6997 8956 8822 8621 7909 8225 7301 8134 7909 7829 11256 7494 7909 7128 6997 6915 9126 6093 7605 5788 7909 5544 8214 4813 7301 4722 7909 3564 3042 3320 4259 3290 5476 3442 8518 3046 5171 2985 4867 2711 8214 2223 7909 2193 8214 2315 11256 1766 6692 1584 8214 1736 12169 853 3954 731 3346 304 11864 0 16123 121 17340 426 17340 487 17036 456 13385 792 16123 1431 18861 1614 17645 2193 17340 2223 17340 2589 17340 2711 16428 3473 18861 3686 17645 6062 17340 6093 17036 5940 12777 7159 17949 7677 17340 7768 17036 8530 17645 9139 17340 9261 18253 9566 16732 9657 15819 10876 21904 10937 21600 11241 21295 11302 20991 11211 17340 11302 18253 11637 16732 11729 15819 11911 17036 12338 17340 12460 16123 12582 17036 13161 17949 13282 17036 14044 17949 14562 16732 14562 16732 14410 8518 15080 14602 15659 17645 15872 15515 16816 17949 17456 17340 18187 17949 18583 17340 18675 16428 19132 18861 19376 16732 19406 16123 20076 18253 20229 17340 21600 17340 21478 9735 21295 7909" fillcolor="silver" stroked="f">
          <v:textpath style="font-family:&quot;Times New Roman&quot;;font-size:1pt" string="Author accepted version"/>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D6C82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3BAE"/>
    <w:multiLevelType w:val="hybridMultilevel"/>
    <w:tmpl w:val="6AE697F8"/>
    <w:lvl w:ilvl="0" w:tplc="77F6BC32">
      <w:numFmt w:val="bullet"/>
      <w:lvlText w:val="-"/>
      <w:lvlJc w:val="left"/>
      <w:pPr>
        <w:ind w:left="840" w:hanging="84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92917A3"/>
    <w:multiLevelType w:val="hybridMultilevel"/>
    <w:tmpl w:val="B030D64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95D57D0"/>
    <w:multiLevelType w:val="hybridMultilevel"/>
    <w:tmpl w:val="40B4B70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F23736F"/>
    <w:multiLevelType w:val="hybridMultilevel"/>
    <w:tmpl w:val="82CA1E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BA5B85"/>
    <w:multiLevelType w:val="hybridMultilevel"/>
    <w:tmpl w:val="ED4E520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59D5B1A"/>
    <w:multiLevelType w:val="hybridMultilevel"/>
    <w:tmpl w:val="734EF42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DE22888"/>
    <w:multiLevelType w:val="hybridMultilevel"/>
    <w:tmpl w:val="486CC9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C40E13"/>
    <w:multiLevelType w:val="hybridMultilevel"/>
    <w:tmpl w:val="0150948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15C774D"/>
    <w:multiLevelType w:val="hybridMultilevel"/>
    <w:tmpl w:val="1732425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4ED5059"/>
    <w:multiLevelType w:val="hybridMultilevel"/>
    <w:tmpl w:val="4D8A3C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3F7167"/>
    <w:multiLevelType w:val="hybridMultilevel"/>
    <w:tmpl w:val="952E7F0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D2106C3"/>
    <w:multiLevelType w:val="hybridMultilevel"/>
    <w:tmpl w:val="2BE090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D414560"/>
    <w:multiLevelType w:val="hybridMultilevel"/>
    <w:tmpl w:val="4FC4626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0A2038B"/>
    <w:multiLevelType w:val="hybridMultilevel"/>
    <w:tmpl w:val="50EAB80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53896329"/>
    <w:multiLevelType w:val="hybridMultilevel"/>
    <w:tmpl w:val="D348EE3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5D497BAA"/>
    <w:multiLevelType w:val="hybridMultilevel"/>
    <w:tmpl w:val="04D241D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66273FDB"/>
    <w:multiLevelType w:val="hybridMultilevel"/>
    <w:tmpl w:val="4176A85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667B45CD"/>
    <w:multiLevelType w:val="hybridMultilevel"/>
    <w:tmpl w:val="FBF0E6C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6B7E0391"/>
    <w:multiLevelType w:val="hybridMultilevel"/>
    <w:tmpl w:val="1128A1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C2C1E99"/>
    <w:multiLevelType w:val="hybridMultilevel"/>
    <w:tmpl w:val="18FE323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E5C1B9B"/>
    <w:multiLevelType w:val="hybridMultilevel"/>
    <w:tmpl w:val="DB446E7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6F8A4920"/>
    <w:multiLevelType w:val="hybridMultilevel"/>
    <w:tmpl w:val="ABEC2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3211B50"/>
    <w:multiLevelType w:val="hybridMultilevel"/>
    <w:tmpl w:val="66E2552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737939E0"/>
    <w:multiLevelType w:val="hybridMultilevel"/>
    <w:tmpl w:val="28FA756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4006CAA"/>
    <w:multiLevelType w:val="singleLevel"/>
    <w:tmpl w:val="78DAADD4"/>
    <w:lvl w:ilvl="0">
      <w:start w:val="1"/>
      <w:numFmt w:val="decimal"/>
      <w:pStyle w:val="Refbody"/>
      <w:lvlText w:val="%1"/>
      <w:lvlJc w:val="left"/>
      <w:pPr>
        <w:tabs>
          <w:tab w:val="num" w:pos="360"/>
        </w:tabs>
        <w:ind w:left="240" w:hanging="240"/>
      </w:pPr>
      <w:rPr>
        <w:rFonts w:hint="default"/>
      </w:rPr>
    </w:lvl>
  </w:abstractNum>
  <w:abstractNum w:abstractNumId="26">
    <w:nsid w:val="77B7694F"/>
    <w:multiLevelType w:val="hybridMultilevel"/>
    <w:tmpl w:val="E4C4C78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7EA2731B"/>
    <w:multiLevelType w:val="hybridMultilevel"/>
    <w:tmpl w:val="40EC0B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26"/>
  </w:num>
  <w:num w:numId="3">
    <w:abstractNumId w:val="6"/>
  </w:num>
  <w:num w:numId="4">
    <w:abstractNumId w:val="17"/>
  </w:num>
  <w:num w:numId="5">
    <w:abstractNumId w:val="0"/>
  </w:num>
  <w:num w:numId="6">
    <w:abstractNumId w:val="25"/>
  </w:num>
  <w:num w:numId="7">
    <w:abstractNumId w:val="2"/>
  </w:num>
  <w:num w:numId="8">
    <w:abstractNumId w:val="3"/>
  </w:num>
  <w:num w:numId="9">
    <w:abstractNumId w:val="15"/>
  </w:num>
  <w:num w:numId="10">
    <w:abstractNumId w:val="12"/>
  </w:num>
  <w:num w:numId="11">
    <w:abstractNumId w:val="23"/>
  </w:num>
  <w:num w:numId="12">
    <w:abstractNumId w:val="8"/>
  </w:num>
  <w:num w:numId="13">
    <w:abstractNumId w:val="20"/>
  </w:num>
  <w:num w:numId="14">
    <w:abstractNumId w:val="5"/>
  </w:num>
  <w:num w:numId="15">
    <w:abstractNumId w:val="27"/>
  </w:num>
  <w:num w:numId="16">
    <w:abstractNumId w:val="21"/>
  </w:num>
  <w:num w:numId="17">
    <w:abstractNumId w:val="10"/>
  </w:num>
  <w:num w:numId="18">
    <w:abstractNumId w:val="4"/>
  </w:num>
  <w:num w:numId="19">
    <w:abstractNumId w:val="13"/>
  </w:num>
  <w:num w:numId="20">
    <w:abstractNumId w:val="19"/>
  </w:num>
  <w:num w:numId="21">
    <w:abstractNumId w:val="14"/>
  </w:num>
  <w:num w:numId="22">
    <w:abstractNumId w:val="16"/>
  </w:num>
  <w:num w:numId="23">
    <w:abstractNumId w:val="9"/>
  </w:num>
  <w:num w:numId="24">
    <w:abstractNumId w:val="24"/>
  </w:num>
  <w:num w:numId="25">
    <w:abstractNumId w:val="18"/>
  </w:num>
  <w:num w:numId="26">
    <w:abstractNumId w:val="11"/>
  </w:num>
  <w:num w:numId="27">
    <w:abstractNumId w:val="7"/>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rawingGridHorizontalSpacing w:val="360"/>
  <w:drawingGridVerticalSpacing w:val="360"/>
  <w:displayHorizontalDrawingGridEvery w:val="0"/>
  <w:displayVerticalDrawingGridEvery w:val="0"/>
  <w:characterSpacingControl w:val="doNotCompress"/>
  <w:savePreviewPicture/>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8054B9"/>
    <w:rsid w:val="00012906"/>
    <w:rsid w:val="000B1702"/>
    <w:rsid w:val="00167908"/>
    <w:rsid w:val="00273F0F"/>
    <w:rsid w:val="002860F6"/>
    <w:rsid w:val="003071E0"/>
    <w:rsid w:val="00321EF3"/>
    <w:rsid w:val="00376E88"/>
    <w:rsid w:val="005A256D"/>
    <w:rsid w:val="00715DB7"/>
    <w:rsid w:val="007E5A66"/>
    <w:rsid w:val="008054B9"/>
    <w:rsid w:val="00886F51"/>
    <w:rsid w:val="00900BA9"/>
    <w:rsid w:val="00941547"/>
    <w:rsid w:val="00A35380"/>
    <w:rsid w:val="00A54C65"/>
    <w:rsid w:val="00A654E1"/>
    <w:rsid w:val="00A96246"/>
    <w:rsid w:val="00BB47FA"/>
    <w:rsid w:val="00DA1532"/>
    <w:rsid w:val="00DF48FC"/>
    <w:rsid w:val="00EE398C"/>
    <w:rsid w:val="00F812FE"/>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4793B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4B9"/>
    <w:rPr>
      <w:rFonts w:ascii="Times New Roman" w:eastAsia="Times New Roman" w:hAnsi="Times New Roman" w:cs="Times New Roman"/>
    </w:rPr>
  </w:style>
  <w:style w:type="paragraph" w:styleId="Heading1">
    <w:name w:val="heading 1"/>
    <w:basedOn w:val="Normal"/>
    <w:link w:val="Heading1Char"/>
    <w:uiPriority w:val="9"/>
    <w:qFormat/>
    <w:rsid w:val="008054B9"/>
    <w:pPr>
      <w:spacing w:before="100" w:beforeAutospacing="1" w:after="100" w:afterAutospacing="1"/>
      <w:outlineLvl w:val="0"/>
    </w:pPr>
    <w:rPr>
      <w:b/>
      <w:bCs/>
      <w:kern w:val="36"/>
      <w:sz w:val="48"/>
      <w:szCs w:val="48"/>
      <w:lang w:eastAsia="en-AU"/>
    </w:rPr>
  </w:style>
  <w:style w:type="paragraph" w:styleId="Heading2">
    <w:name w:val="heading 2"/>
    <w:basedOn w:val="Normal"/>
    <w:next w:val="Normal"/>
    <w:link w:val="Heading2Char"/>
    <w:qFormat/>
    <w:rsid w:val="008054B9"/>
    <w:pPr>
      <w:keepNext/>
      <w:spacing w:before="240" w:after="60"/>
      <w:outlineLvl w:val="1"/>
    </w:pPr>
    <w:rPr>
      <w:rFonts w:ascii="Calibri" w:hAnsi="Calibri"/>
      <w:b/>
      <w:bCs/>
      <w:i/>
      <w:iCs/>
      <w:sz w:val="28"/>
      <w:szCs w:val="28"/>
    </w:rPr>
  </w:style>
  <w:style w:type="paragraph" w:styleId="Heading3">
    <w:name w:val="heading 3"/>
    <w:basedOn w:val="Normal"/>
    <w:next w:val="Normal"/>
    <w:link w:val="Heading3Char"/>
    <w:qFormat/>
    <w:rsid w:val="008054B9"/>
    <w:pPr>
      <w:keepNext/>
      <w:spacing w:before="240" w:after="60"/>
      <w:outlineLvl w:val="2"/>
    </w:pPr>
    <w:rPr>
      <w:rFonts w:ascii="Calibri" w:hAnsi="Calibri"/>
      <w:b/>
      <w:bCs/>
      <w:sz w:val="26"/>
      <w:szCs w:val="26"/>
    </w:rPr>
  </w:style>
  <w:style w:type="paragraph" w:styleId="Heading4">
    <w:name w:val="heading 4"/>
    <w:basedOn w:val="Normal"/>
    <w:next w:val="Normal"/>
    <w:link w:val="Heading4Char"/>
    <w:qFormat/>
    <w:rsid w:val="008054B9"/>
    <w:pPr>
      <w:keepNext/>
      <w:spacing w:before="240" w:after="60"/>
      <w:outlineLvl w:val="3"/>
    </w:pPr>
    <w:rPr>
      <w:rFonts w:ascii="Cambria" w:eastAsia="MS Mincho" w:hAnsi="Cambria"/>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8054B9"/>
    <w:rPr>
      <w:rFonts w:ascii="Times New Roman" w:eastAsia="Times New Roman" w:hAnsi="Times New Roman" w:cs="Times New Roman"/>
      <w:b/>
      <w:bCs/>
      <w:kern w:val="36"/>
      <w:sz w:val="48"/>
      <w:szCs w:val="48"/>
      <w:lang w:eastAsia="en-AU"/>
    </w:rPr>
  </w:style>
  <w:style w:type="character" w:customStyle="1" w:styleId="Heading2Char">
    <w:name w:val="Heading 2 Char"/>
    <w:link w:val="Heading2"/>
    <w:rsid w:val="008054B9"/>
    <w:rPr>
      <w:rFonts w:ascii="Calibri" w:eastAsia="Times New Roman" w:hAnsi="Calibri" w:cs="Times New Roman"/>
      <w:b/>
      <w:bCs/>
      <w:i/>
      <w:iCs/>
      <w:sz w:val="28"/>
      <w:szCs w:val="28"/>
    </w:rPr>
  </w:style>
  <w:style w:type="character" w:customStyle="1" w:styleId="Heading3Char">
    <w:name w:val="Heading 3 Char"/>
    <w:link w:val="Heading3"/>
    <w:rsid w:val="008054B9"/>
    <w:rPr>
      <w:rFonts w:ascii="Calibri" w:eastAsia="Times New Roman" w:hAnsi="Calibri" w:cs="Times New Roman"/>
      <w:b/>
      <w:bCs/>
      <w:sz w:val="26"/>
      <w:szCs w:val="26"/>
    </w:rPr>
  </w:style>
  <w:style w:type="character" w:customStyle="1" w:styleId="Heading4Char">
    <w:name w:val="Heading 4 Char"/>
    <w:link w:val="Heading4"/>
    <w:rsid w:val="008054B9"/>
    <w:rPr>
      <w:rFonts w:ascii="Cambria" w:eastAsia="MS Mincho" w:hAnsi="Cambria" w:cs="Times New Roman"/>
      <w:b/>
      <w:bCs/>
      <w:sz w:val="28"/>
      <w:szCs w:val="28"/>
    </w:rPr>
  </w:style>
  <w:style w:type="character" w:styleId="CommentReference">
    <w:name w:val="annotation reference"/>
    <w:rsid w:val="008054B9"/>
    <w:rPr>
      <w:sz w:val="18"/>
      <w:szCs w:val="18"/>
    </w:rPr>
  </w:style>
  <w:style w:type="paragraph" w:styleId="CommentText">
    <w:name w:val="annotation text"/>
    <w:basedOn w:val="Normal"/>
    <w:link w:val="CommentTextChar"/>
    <w:rsid w:val="008054B9"/>
  </w:style>
  <w:style w:type="character" w:customStyle="1" w:styleId="CommentTextChar">
    <w:name w:val="Comment Text Char"/>
    <w:link w:val="CommentText"/>
    <w:rsid w:val="008054B9"/>
    <w:rPr>
      <w:rFonts w:ascii="Times New Roman" w:eastAsia="Times New Roman" w:hAnsi="Times New Roman" w:cs="Times New Roman"/>
    </w:rPr>
  </w:style>
  <w:style w:type="paragraph" w:styleId="CommentSubject">
    <w:name w:val="annotation subject"/>
    <w:basedOn w:val="CommentText"/>
    <w:next w:val="CommentText"/>
    <w:link w:val="CommentSubjectChar"/>
    <w:rsid w:val="008054B9"/>
    <w:rPr>
      <w:b/>
      <w:bCs/>
    </w:rPr>
  </w:style>
  <w:style w:type="character" w:customStyle="1" w:styleId="CommentSubjectChar">
    <w:name w:val="Comment Subject Char"/>
    <w:link w:val="CommentSubject"/>
    <w:rsid w:val="008054B9"/>
    <w:rPr>
      <w:rFonts w:ascii="Times New Roman" w:eastAsia="Times New Roman" w:hAnsi="Times New Roman" w:cs="Times New Roman"/>
      <w:b/>
      <w:bCs/>
    </w:rPr>
  </w:style>
  <w:style w:type="paragraph" w:styleId="BalloonText">
    <w:name w:val="Balloon Text"/>
    <w:basedOn w:val="Normal"/>
    <w:link w:val="BalloonTextChar"/>
    <w:rsid w:val="008054B9"/>
    <w:rPr>
      <w:rFonts w:ascii="Lucida Grande" w:hAnsi="Lucida Grande"/>
      <w:sz w:val="18"/>
      <w:szCs w:val="18"/>
    </w:rPr>
  </w:style>
  <w:style w:type="character" w:customStyle="1" w:styleId="BalloonTextChar">
    <w:name w:val="Balloon Text Char"/>
    <w:link w:val="BalloonText"/>
    <w:rsid w:val="008054B9"/>
    <w:rPr>
      <w:rFonts w:ascii="Lucida Grande" w:eastAsia="Times New Roman" w:hAnsi="Lucida Grande" w:cs="Times New Roman"/>
      <w:sz w:val="18"/>
      <w:szCs w:val="18"/>
    </w:rPr>
  </w:style>
  <w:style w:type="character" w:styleId="Hyperlink">
    <w:name w:val="Hyperlink"/>
    <w:rsid w:val="008054B9"/>
    <w:rPr>
      <w:color w:val="0000FF"/>
      <w:u w:val="single"/>
    </w:rPr>
  </w:style>
  <w:style w:type="table" w:styleId="TableGrid">
    <w:name w:val="Table Grid"/>
    <w:basedOn w:val="TableNormal"/>
    <w:uiPriority w:val="59"/>
    <w:rsid w:val="008054B9"/>
    <w:rPr>
      <w:rFonts w:ascii="Times New Roman" w:eastAsia="Times New Roman" w:hAnsi="Times New Roman" w:cs="Times New Roman"/>
      <w:sz w:val="20"/>
      <w:szCs w:val="20"/>
      <w:lang w:val="en-A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Refbody">
    <w:name w:val="Refbody"/>
    <w:basedOn w:val="Normal"/>
    <w:rsid w:val="008054B9"/>
    <w:pPr>
      <w:widowControl w:val="0"/>
      <w:numPr>
        <w:numId w:val="6"/>
      </w:numPr>
      <w:tabs>
        <w:tab w:val="left" w:pos="238"/>
        <w:tab w:val="right" w:pos="3360"/>
        <w:tab w:val="right" w:pos="5040"/>
      </w:tabs>
      <w:overflowPunct w:val="0"/>
      <w:autoSpaceDE w:val="0"/>
      <w:autoSpaceDN w:val="0"/>
      <w:adjustRightInd w:val="0"/>
      <w:spacing w:line="160" w:lineRule="atLeast"/>
      <w:jc w:val="both"/>
      <w:textAlignment w:val="baseline"/>
    </w:pPr>
    <w:rPr>
      <w:rFonts w:ascii="Arial" w:hAnsi="Arial"/>
      <w:color w:val="000000"/>
      <w:spacing w:val="-4"/>
      <w:kern w:val="14"/>
      <w:sz w:val="14"/>
      <w:szCs w:val="20"/>
      <w:lang w:val="en-AU"/>
    </w:rPr>
  </w:style>
  <w:style w:type="paragraph" w:customStyle="1" w:styleId="title">
    <w:name w:val="title"/>
    <w:basedOn w:val="Normal"/>
    <w:rsid w:val="008054B9"/>
    <w:pPr>
      <w:spacing w:before="100" w:beforeAutospacing="1" w:after="100" w:afterAutospacing="1"/>
    </w:pPr>
    <w:rPr>
      <w:lang w:val="en-AU" w:eastAsia="en-AU"/>
    </w:rPr>
  </w:style>
  <w:style w:type="character" w:customStyle="1" w:styleId="jrnl">
    <w:name w:val="jrnl"/>
    <w:rsid w:val="008054B9"/>
  </w:style>
  <w:style w:type="paragraph" w:customStyle="1" w:styleId="desc">
    <w:name w:val="desc"/>
    <w:basedOn w:val="Normal"/>
    <w:rsid w:val="008054B9"/>
    <w:pPr>
      <w:spacing w:before="100" w:beforeAutospacing="1" w:after="100" w:afterAutospacing="1"/>
    </w:pPr>
    <w:rPr>
      <w:lang w:val="en-AU" w:eastAsia="en-AU"/>
    </w:rPr>
  </w:style>
  <w:style w:type="paragraph" w:customStyle="1" w:styleId="details">
    <w:name w:val="details"/>
    <w:basedOn w:val="Normal"/>
    <w:rsid w:val="008054B9"/>
    <w:pPr>
      <w:spacing w:before="100" w:beforeAutospacing="1" w:after="100" w:afterAutospacing="1"/>
    </w:pPr>
    <w:rPr>
      <w:lang w:val="en-AU" w:eastAsia="en-AU"/>
    </w:rPr>
  </w:style>
  <w:style w:type="character" w:customStyle="1" w:styleId="highlight">
    <w:name w:val="highlight"/>
    <w:rsid w:val="008054B9"/>
  </w:style>
  <w:style w:type="character" w:customStyle="1" w:styleId="apple-converted-space">
    <w:name w:val="apple-converted-space"/>
    <w:rsid w:val="008054B9"/>
  </w:style>
  <w:style w:type="character" w:customStyle="1" w:styleId="nlmsource">
    <w:name w:val="nlm_source"/>
    <w:rsid w:val="008054B9"/>
  </w:style>
  <w:style w:type="paragraph" w:customStyle="1" w:styleId="Body">
    <w:name w:val="Body"/>
    <w:basedOn w:val="Normal"/>
    <w:rsid w:val="008054B9"/>
    <w:pPr>
      <w:widowControl w:val="0"/>
      <w:overflowPunct w:val="0"/>
      <w:autoSpaceDE w:val="0"/>
      <w:autoSpaceDN w:val="0"/>
      <w:adjustRightInd w:val="0"/>
      <w:spacing w:line="220" w:lineRule="exact"/>
      <w:ind w:firstLine="180"/>
      <w:jc w:val="both"/>
      <w:textAlignment w:val="baseline"/>
    </w:pPr>
    <w:rPr>
      <w:color w:val="000000"/>
      <w:spacing w:val="4"/>
      <w:kern w:val="16"/>
      <w:sz w:val="18"/>
      <w:szCs w:val="20"/>
      <w:lang w:val="en-AU"/>
    </w:rPr>
  </w:style>
  <w:style w:type="character" w:customStyle="1" w:styleId="Refnumber">
    <w:name w:val="Refnumber"/>
    <w:rsid w:val="008054B9"/>
    <w:rPr>
      <w:color w:val="FF0000"/>
      <w:position w:val="6"/>
      <w:sz w:val="14"/>
      <w:vertAlign w:val="baseline"/>
    </w:rPr>
  </w:style>
  <w:style w:type="character" w:customStyle="1" w:styleId="URL">
    <w:name w:val="URL"/>
    <w:rsid w:val="008054B9"/>
    <w:rPr>
      <w:color w:val="0000FF"/>
    </w:rPr>
  </w:style>
  <w:style w:type="paragraph" w:customStyle="1" w:styleId="Default">
    <w:name w:val="Default"/>
    <w:rsid w:val="008054B9"/>
    <w:pPr>
      <w:autoSpaceDE w:val="0"/>
      <w:autoSpaceDN w:val="0"/>
      <w:adjustRightInd w:val="0"/>
    </w:pPr>
    <w:rPr>
      <w:rFonts w:ascii="Calibri" w:eastAsia="Times New Roman" w:hAnsi="Calibri" w:cs="Calibri"/>
      <w:color w:val="000000"/>
      <w:lang w:val="en-AU" w:eastAsia="en-AU"/>
    </w:rPr>
  </w:style>
  <w:style w:type="paragraph" w:styleId="NormalWeb">
    <w:name w:val="Normal (Web)"/>
    <w:basedOn w:val="Normal"/>
    <w:uiPriority w:val="99"/>
    <w:rsid w:val="008054B9"/>
    <w:pPr>
      <w:spacing w:beforeLines="1" w:afterLines="1"/>
    </w:pPr>
    <w:rPr>
      <w:rFonts w:ascii="Times" w:hAnsi="Times"/>
      <w:sz w:val="20"/>
      <w:szCs w:val="20"/>
      <w:lang w:val="en-AU"/>
    </w:rPr>
  </w:style>
  <w:style w:type="character" w:styleId="FollowedHyperlink">
    <w:name w:val="FollowedHyperlink"/>
    <w:rsid w:val="008054B9"/>
    <w:rPr>
      <w:color w:val="800080"/>
      <w:u w:val="single"/>
    </w:rPr>
  </w:style>
  <w:style w:type="paragraph" w:styleId="Footer">
    <w:name w:val="footer"/>
    <w:basedOn w:val="Normal"/>
    <w:link w:val="FooterChar"/>
    <w:rsid w:val="008054B9"/>
    <w:pPr>
      <w:tabs>
        <w:tab w:val="center" w:pos="4320"/>
        <w:tab w:val="right" w:pos="8640"/>
      </w:tabs>
    </w:pPr>
  </w:style>
  <w:style w:type="character" w:customStyle="1" w:styleId="FooterChar">
    <w:name w:val="Footer Char"/>
    <w:link w:val="Footer"/>
    <w:rsid w:val="008054B9"/>
    <w:rPr>
      <w:rFonts w:ascii="Times New Roman" w:eastAsia="Times New Roman" w:hAnsi="Times New Roman" w:cs="Times New Roman"/>
    </w:rPr>
  </w:style>
  <w:style w:type="character" w:styleId="PageNumber">
    <w:name w:val="page number"/>
    <w:basedOn w:val="DefaultParagraphFont"/>
    <w:rsid w:val="008054B9"/>
  </w:style>
  <w:style w:type="paragraph" w:styleId="Header">
    <w:name w:val="header"/>
    <w:basedOn w:val="Normal"/>
    <w:link w:val="HeaderChar"/>
    <w:uiPriority w:val="99"/>
    <w:unhideWhenUsed/>
    <w:rsid w:val="005A256D"/>
    <w:pPr>
      <w:tabs>
        <w:tab w:val="center" w:pos="4320"/>
        <w:tab w:val="right" w:pos="8640"/>
      </w:tabs>
    </w:pPr>
  </w:style>
  <w:style w:type="character" w:customStyle="1" w:styleId="HeaderChar">
    <w:name w:val="Header Char"/>
    <w:basedOn w:val="DefaultParagraphFont"/>
    <w:link w:val="Header"/>
    <w:uiPriority w:val="99"/>
    <w:rsid w:val="005A256D"/>
    <w:rPr>
      <w:rFonts w:ascii="Times New Roman" w:eastAsia="Times New Roman" w:hAnsi="Times New Roman"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4B9"/>
    <w:rPr>
      <w:rFonts w:ascii="Times New Roman" w:eastAsia="Times New Roman" w:hAnsi="Times New Roman" w:cs="Times New Roman"/>
    </w:rPr>
  </w:style>
  <w:style w:type="paragraph" w:styleId="Heading1">
    <w:name w:val="heading 1"/>
    <w:basedOn w:val="Normal"/>
    <w:link w:val="Heading1Char"/>
    <w:uiPriority w:val="9"/>
    <w:qFormat/>
    <w:rsid w:val="008054B9"/>
    <w:pPr>
      <w:spacing w:before="100" w:beforeAutospacing="1" w:after="100" w:afterAutospacing="1"/>
      <w:outlineLvl w:val="0"/>
    </w:pPr>
    <w:rPr>
      <w:b/>
      <w:bCs/>
      <w:kern w:val="36"/>
      <w:sz w:val="48"/>
      <w:szCs w:val="48"/>
      <w:lang w:eastAsia="en-AU"/>
    </w:rPr>
  </w:style>
  <w:style w:type="paragraph" w:styleId="Heading2">
    <w:name w:val="heading 2"/>
    <w:basedOn w:val="Normal"/>
    <w:next w:val="Normal"/>
    <w:link w:val="Heading2Char"/>
    <w:qFormat/>
    <w:rsid w:val="008054B9"/>
    <w:pPr>
      <w:keepNext/>
      <w:spacing w:before="240" w:after="60"/>
      <w:outlineLvl w:val="1"/>
    </w:pPr>
    <w:rPr>
      <w:rFonts w:ascii="Calibri" w:hAnsi="Calibri"/>
      <w:b/>
      <w:bCs/>
      <w:i/>
      <w:iCs/>
      <w:sz w:val="28"/>
      <w:szCs w:val="28"/>
    </w:rPr>
  </w:style>
  <w:style w:type="paragraph" w:styleId="Heading3">
    <w:name w:val="heading 3"/>
    <w:basedOn w:val="Normal"/>
    <w:next w:val="Normal"/>
    <w:link w:val="Heading3Char"/>
    <w:qFormat/>
    <w:rsid w:val="008054B9"/>
    <w:pPr>
      <w:keepNext/>
      <w:spacing w:before="240" w:after="60"/>
      <w:outlineLvl w:val="2"/>
    </w:pPr>
    <w:rPr>
      <w:rFonts w:ascii="Calibri" w:hAnsi="Calibri"/>
      <w:b/>
      <w:bCs/>
      <w:sz w:val="26"/>
      <w:szCs w:val="26"/>
    </w:rPr>
  </w:style>
  <w:style w:type="paragraph" w:styleId="Heading4">
    <w:name w:val="heading 4"/>
    <w:basedOn w:val="Normal"/>
    <w:next w:val="Normal"/>
    <w:link w:val="Heading4Char"/>
    <w:qFormat/>
    <w:rsid w:val="008054B9"/>
    <w:pPr>
      <w:keepNext/>
      <w:spacing w:before="240" w:after="60"/>
      <w:outlineLvl w:val="3"/>
    </w:pPr>
    <w:rPr>
      <w:rFonts w:ascii="Cambria" w:eastAsia="MS Mincho" w:hAnsi="Cambria"/>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8054B9"/>
    <w:rPr>
      <w:rFonts w:ascii="Times New Roman" w:eastAsia="Times New Roman" w:hAnsi="Times New Roman" w:cs="Times New Roman"/>
      <w:b/>
      <w:bCs/>
      <w:kern w:val="36"/>
      <w:sz w:val="48"/>
      <w:szCs w:val="48"/>
      <w:lang w:eastAsia="en-AU"/>
    </w:rPr>
  </w:style>
  <w:style w:type="character" w:customStyle="1" w:styleId="Heading2Char">
    <w:name w:val="Heading 2 Char"/>
    <w:link w:val="Heading2"/>
    <w:rsid w:val="008054B9"/>
    <w:rPr>
      <w:rFonts w:ascii="Calibri" w:eastAsia="Times New Roman" w:hAnsi="Calibri" w:cs="Times New Roman"/>
      <w:b/>
      <w:bCs/>
      <w:i/>
      <w:iCs/>
      <w:sz w:val="28"/>
      <w:szCs w:val="28"/>
    </w:rPr>
  </w:style>
  <w:style w:type="character" w:customStyle="1" w:styleId="Heading3Char">
    <w:name w:val="Heading 3 Char"/>
    <w:link w:val="Heading3"/>
    <w:rsid w:val="008054B9"/>
    <w:rPr>
      <w:rFonts w:ascii="Calibri" w:eastAsia="Times New Roman" w:hAnsi="Calibri" w:cs="Times New Roman"/>
      <w:b/>
      <w:bCs/>
      <w:sz w:val="26"/>
      <w:szCs w:val="26"/>
    </w:rPr>
  </w:style>
  <w:style w:type="character" w:customStyle="1" w:styleId="Heading4Char">
    <w:name w:val="Heading 4 Char"/>
    <w:link w:val="Heading4"/>
    <w:rsid w:val="008054B9"/>
    <w:rPr>
      <w:rFonts w:ascii="Cambria" w:eastAsia="MS Mincho" w:hAnsi="Cambria" w:cs="Times New Roman"/>
      <w:b/>
      <w:bCs/>
      <w:sz w:val="28"/>
      <w:szCs w:val="28"/>
    </w:rPr>
  </w:style>
  <w:style w:type="character" w:styleId="CommentReference">
    <w:name w:val="annotation reference"/>
    <w:rsid w:val="008054B9"/>
    <w:rPr>
      <w:sz w:val="18"/>
      <w:szCs w:val="18"/>
    </w:rPr>
  </w:style>
  <w:style w:type="paragraph" w:styleId="CommentText">
    <w:name w:val="annotation text"/>
    <w:basedOn w:val="Normal"/>
    <w:link w:val="CommentTextChar"/>
    <w:rsid w:val="008054B9"/>
  </w:style>
  <w:style w:type="character" w:customStyle="1" w:styleId="CommentTextChar">
    <w:name w:val="Comment Text Char"/>
    <w:link w:val="CommentText"/>
    <w:rsid w:val="008054B9"/>
    <w:rPr>
      <w:rFonts w:ascii="Times New Roman" w:eastAsia="Times New Roman" w:hAnsi="Times New Roman" w:cs="Times New Roman"/>
    </w:rPr>
  </w:style>
  <w:style w:type="paragraph" w:styleId="CommentSubject">
    <w:name w:val="annotation subject"/>
    <w:basedOn w:val="CommentText"/>
    <w:next w:val="CommentText"/>
    <w:link w:val="CommentSubjectChar"/>
    <w:rsid w:val="008054B9"/>
    <w:rPr>
      <w:b/>
      <w:bCs/>
    </w:rPr>
  </w:style>
  <w:style w:type="character" w:customStyle="1" w:styleId="CommentSubjectChar">
    <w:name w:val="Comment Subject Char"/>
    <w:link w:val="CommentSubject"/>
    <w:rsid w:val="008054B9"/>
    <w:rPr>
      <w:rFonts w:ascii="Times New Roman" w:eastAsia="Times New Roman" w:hAnsi="Times New Roman" w:cs="Times New Roman"/>
      <w:b/>
      <w:bCs/>
    </w:rPr>
  </w:style>
  <w:style w:type="paragraph" w:styleId="BalloonText">
    <w:name w:val="Balloon Text"/>
    <w:basedOn w:val="Normal"/>
    <w:link w:val="BalloonTextChar"/>
    <w:rsid w:val="008054B9"/>
    <w:rPr>
      <w:rFonts w:ascii="Lucida Grande" w:hAnsi="Lucida Grande"/>
      <w:sz w:val="18"/>
      <w:szCs w:val="18"/>
    </w:rPr>
  </w:style>
  <w:style w:type="character" w:customStyle="1" w:styleId="BalloonTextChar">
    <w:name w:val="Balloon Text Char"/>
    <w:link w:val="BalloonText"/>
    <w:rsid w:val="008054B9"/>
    <w:rPr>
      <w:rFonts w:ascii="Lucida Grande" w:eastAsia="Times New Roman" w:hAnsi="Lucida Grande" w:cs="Times New Roman"/>
      <w:sz w:val="18"/>
      <w:szCs w:val="18"/>
    </w:rPr>
  </w:style>
  <w:style w:type="character" w:styleId="Hyperlink">
    <w:name w:val="Hyperlink"/>
    <w:rsid w:val="008054B9"/>
    <w:rPr>
      <w:color w:val="0000FF"/>
      <w:u w:val="single"/>
    </w:rPr>
  </w:style>
  <w:style w:type="table" w:styleId="TableGrid">
    <w:name w:val="Table Grid"/>
    <w:basedOn w:val="TableNormal"/>
    <w:uiPriority w:val="59"/>
    <w:rsid w:val="008054B9"/>
    <w:rPr>
      <w:rFonts w:ascii="Times New Roman" w:eastAsia="Times New Roman" w:hAnsi="Times New Roman" w:cs="Times New Roman"/>
      <w:sz w:val="20"/>
      <w:szCs w:val="20"/>
      <w:lang w:val="en-A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Refbody">
    <w:name w:val="Refbody"/>
    <w:basedOn w:val="Normal"/>
    <w:rsid w:val="008054B9"/>
    <w:pPr>
      <w:widowControl w:val="0"/>
      <w:numPr>
        <w:numId w:val="6"/>
      </w:numPr>
      <w:tabs>
        <w:tab w:val="left" w:pos="238"/>
        <w:tab w:val="right" w:pos="3360"/>
        <w:tab w:val="right" w:pos="5040"/>
      </w:tabs>
      <w:overflowPunct w:val="0"/>
      <w:autoSpaceDE w:val="0"/>
      <w:autoSpaceDN w:val="0"/>
      <w:adjustRightInd w:val="0"/>
      <w:spacing w:line="160" w:lineRule="atLeast"/>
      <w:jc w:val="both"/>
      <w:textAlignment w:val="baseline"/>
    </w:pPr>
    <w:rPr>
      <w:rFonts w:ascii="Arial" w:hAnsi="Arial"/>
      <w:color w:val="000000"/>
      <w:spacing w:val="-4"/>
      <w:kern w:val="14"/>
      <w:sz w:val="14"/>
      <w:szCs w:val="20"/>
      <w:lang w:val="en-AU"/>
    </w:rPr>
  </w:style>
  <w:style w:type="paragraph" w:customStyle="1" w:styleId="title">
    <w:name w:val="title"/>
    <w:basedOn w:val="Normal"/>
    <w:rsid w:val="008054B9"/>
    <w:pPr>
      <w:spacing w:before="100" w:beforeAutospacing="1" w:after="100" w:afterAutospacing="1"/>
    </w:pPr>
    <w:rPr>
      <w:lang w:val="en-AU" w:eastAsia="en-AU"/>
    </w:rPr>
  </w:style>
  <w:style w:type="character" w:customStyle="1" w:styleId="jrnl">
    <w:name w:val="jrnl"/>
    <w:rsid w:val="008054B9"/>
  </w:style>
  <w:style w:type="paragraph" w:customStyle="1" w:styleId="desc">
    <w:name w:val="desc"/>
    <w:basedOn w:val="Normal"/>
    <w:rsid w:val="008054B9"/>
    <w:pPr>
      <w:spacing w:before="100" w:beforeAutospacing="1" w:after="100" w:afterAutospacing="1"/>
    </w:pPr>
    <w:rPr>
      <w:lang w:val="en-AU" w:eastAsia="en-AU"/>
    </w:rPr>
  </w:style>
  <w:style w:type="paragraph" w:customStyle="1" w:styleId="details">
    <w:name w:val="details"/>
    <w:basedOn w:val="Normal"/>
    <w:rsid w:val="008054B9"/>
    <w:pPr>
      <w:spacing w:before="100" w:beforeAutospacing="1" w:after="100" w:afterAutospacing="1"/>
    </w:pPr>
    <w:rPr>
      <w:lang w:val="en-AU" w:eastAsia="en-AU"/>
    </w:rPr>
  </w:style>
  <w:style w:type="character" w:customStyle="1" w:styleId="highlight">
    <w:name w:val="highlight"/>
    <w:rsid w:val="008054B9"/>
  </w:style>
  <w:style w:type="character" w:customStyle="1" w:styleId="apple-converted-space">
    <w:name w:val="apple-converted-space"/>
    <w:rsid w:val="008054B9"/>
  </w:style>
  <w:style w:type="character" w:customStyle="1" w:styleId="nlmsource">
    <w:name w:val="nlm_source"/>
    <w:rsid w:val="008054B9"/>
  </w:style>
  <w:style w:type="paragraph" w:customStyle="1" w:styleId="Body">
    <w:name w:val="Body"/>
    <w:basedOn w:val="Normal"/>
    <w:rsid w:val="008054B9"/>
    <w:pPr>
      <w:widowControl w:val="0"/>
      <w:overflowPunct w:val="0"/>
      <w:autoSpaceDE w:val="0"/>
      <w:autoSpaceDN w:val="0"/>
      <w:adjustRightInd w:val="0"/>
      <w:spacing w:line="220" w:lineRule="exact"/>
      <w:ind w:firstLine="180"/>
      <w:jc w:val="both"/>
      <w:textAlignment w:val="baseline"/>
    </w:pPr>
    <w:rPr>
      <w:color w:val="000000"/>
      <w:spacing w:val="4"/>
      <w:kern w:val="16"/>
      <w:sz w:val="18"/>
      <w:szCs w:val="20"/>
      <w:lang w:val="en-AU"/>
    </w:rPr>
  </w:style>
  <w:style w:type="character" w:customStyle="1" w:styleId="Refnumber">
    <w:name w:val="Refnumber"/>
    <w:rsid w:val="008054B9"/>
    <w:rPr>
      <w:color w:val="FF0000"/>
      <w:position w:val="6"/>
      <w:sz w:val="14"/>
      <w:vertAlign w:val="baseline"/>
    </w:rPr>
  </w:style>
  <w:style w:type="character" w:customStyle="1" w:styleId="URL">
    <w:name w:val="URL"/>
    <w:rsid w:val="008054B9"/>
    <w:rPr>
      <w:color w:val="0000FF"/>
    </w:rPr>
  </w:style>
  <w:style w:type="paragraph" w:customStyle="1" w:styleId="Default">
    <w:name w:val="Default"/>
    <w:rsid w:val="008054B9"/>
    <w:pPr>
      <w:autoSpaceDE w:val="0"/>
      <w:autoSpaceDN w:val="0"/>
      <w:adjustRightInd w:val="0"/>
    </w:pPr>
    <w:rPr>
      <w:rFonts w:ascii="Calibri" w:eastAsia="Times New Roman" w:hAnsi="Calibri" w:cs="Calibri"/>
      <w:color w:val="000000"/>
      <w:lang w:val="en-AU" w:eastAsia="en-AU"/>
    </w:rPr>
  </w:style>
  <w:style w:type="paragraph" w:styleId="NormalWeb">
    <w:name w:val="Normal (Web)"/>
    <w:basedOn w:val="Normal"/>
    <w:uiPriority w:val="99"/>
    <w:rsid w:val="008054B9"/>
    <w:pPr>
      <w:spacing w:beforeLines="1" w:afterLines="1"/>
    </w:pPr>
    <w:rPr>
      <w:rFonts w:ascii="Times" w:hAnsi="Times"/>
      <w:sz w:val="20"/>
      <w:szCs w:val="20"/>
      <w:lang w:val="en-AU"/>
    </w:rPr>
  </w:style>
  <w:style w:type="character" w:styleId="FollowedHyperlink">
    <w:name w:val="FollowedHyperlink"/>
    <w:rsid w:val="008054B9"/>
    <w:rPr>
      <w:color w:val="800080"/>
      <w:u w:val="single"/>
    </w:rPr>
  </w:style>
  <w:style w:type="paragraph" w:styleId="Footer">
    <w:name w:val="footer"/>
    <w:basedOn w:val="Normal"/>
    <w:link w:val="FooterChar"/>
    <w:rsid w:val="008054B9"/>
    <w:pPr>
      <w:tabs>
        <w:tab w:val="center" w:pos="4320"/>
        <w:tab w:val="right" w:pos="8640"/>
      </w:tabs>
    </w:pPr>
  </w:style>
  <w:style w:type="character" w:customStyle="1" w:styleId="FooterChar">
    <w:name w:val="Footer Char"/>
    <w:link w:val="Footer"/>
    <w:rsid w:val="008054B9"/>
    <w:rPr>
      <w:rFonts w:ascii="Times New Roman" w:eastAsia="Times New Roman" w:hAnsi="Times New Roman" w:cs="Times New Roman"/>
    </w:rPr>
  </w:style>
  <w:style w:type="character" w:styleId="PageNumber">
    <w:name w:val="page number"/>
    <w:basedOn w:val="DefaultParagraphFont"/>
    <w:rsid w:val="008054B9"/>
  </w:style>
  <w:style w:type="paragraph" w:styleId="Header">
    <w:name w:val="header"/>
    <w:basedOn w:val="Normal"/>
    <w:link w:val="HeaderChar"/>
    <w:uiPriority w:val="99"/>
    <w:unhideWhenUsed/>
    <w:rsid w:val="005A256D"/>
    <w:pPr>
      <w:tabs>
        <w:tab w:val="center" w:pos="4320"/>
        <w:tab w:val="right" w:pos="8640"/>
      </w:tabs>
    </w:pPr>
  </w:style>
  <w:style w:type="character" w:customStyle="1" w:styleId="HeaderChar">
    <w:name w:val="Header Char"/>
    <w:basedOn w:val="DefaultParagraphFont"/>
    <w:link w:val="Header"/>
    <w:uiPriority w:val="99"/>
    <w:rsid w:val="005A256D"/>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header" Target="header3.xml"/><Relationship Id="rId16" Type="http://schemas.openxmlformats.org/officeDocument/2006/relationships/footer" Target="footer3.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Caroline.brand@mh.org.au" TargetMode="External"/><Relationship Id="rId9" Type="http://schemas.openxmlformats.org/officeDocument/2006/relationships/hyperlink" Target="mailto:i.ackerman@unimelb.edu.au" TargetMode="External"/><Relationship Id="rId10" Type="http://schemas.openxmlformats.org/officeDocument/2006/relationships/hyperlink" Target="mailto:Megan.bohensky@unimelb.edu.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45</Pages>
  <Words>10113</Words>
  <Characters>57645</Characters>
  <Application>Microsoft Macintosh Word</Application>
  <DocSecurity>0</DocSecurity>
  <Lines>480</Lines>
  <Paragraphs>135</Paragraphs>
  <ScaleCrop>false</ScaleCrop>
  <Company/>
  <LinksUpToDate>false</LinksUpToDate>
  <CharactersWithSpaces>67623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Brand</dc:creator>
  <cp:keywords/>
  <cp:lastModifiedBy>Ilana Ackerman</cp:lastModifiedBy>
  <cp:revision>3</cp:revision>
  <dcterms:created xsi:type="dcterms:W3CDTF">2016-02-20T07:26:00Z</dcterms:created>
  <dcterms:modified xsi:type="dcterms:W3CDTF">2016-02-20T07:27:00Z</dcterms:modified>
</cp:coreProperties>
</file>