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D6697" w14:textId="77777777" w:rsidR="007F4B1D" w:rsidRDefault="00000000">
      <w:pPr>
        <w:pStyle w:val="normal1"/>
        <w:spacing w:line="288" w:lineRule="auto"/>
        <w:rPr>
          <w:color w:val="000000"/>
        </w:rPr>
      </w:pPr>
      <w:r>
        <w:rPr>
          <w:i/>
          <w:color w:val="000000"/>
        </w:rPr>
        <w:t xml:space="preserve">  Paik's Virtual Archive: Time, Change, and Materiality in Media Art, </w:t>
      </w:r>
      <w:r>
        <w:rPr>
          <w:color w:val="000000"/>
        </w:rPr>
        <w:t>Hanna B. Hölling</w:t>
      </w:r>
      <w:r>
        <w:rPr>
          <w:i/>
          <w:color w:val="000000"/>
        </w:rPr>
        <w:t xml:space="preserve">, </w:t>
      </w:r>
      <w:r>
        <w:rPr>
          <w:color w:val="000000"/>
        </w:rPr>
        <w:t>Oakland, California, University of California Press, 2017, pp 264, hardback, $65. ISBN: 9780520288904.</w:t>
      </w:r>
    </w:p>
    <w:p w14:paraId="6435A2C5" w14:textId="77777777" w:rsidR="007F4B1D" w:rsidRDefault="007F4B1D">
      <w:pPr>
        <w:pStyle w:val="normal1"/>
        <w:spacing w:line="288" w:lineRule="auto"/>
        <w:rPr>
          <w:color w:val="000000"/>
        </w:rPr>
      </w:pPr>
    </w:p>
    <w:p w14:paraId="78B23954" w14:textId="77777777" w:rsidR="007F4B1D" w:rsidRDefault="00000000">
      <w:pPr>
        <w:pStyle w:val="normal1"/>
        <w:spacing w:line="480" w:lineRule="auto"/>
        <w:jc w:val="center"/>
        <w:rPr>
          <w:color w:val="000000"/>
        </w:rPr>
      </w:pPr>
      <w:r>
        <w:rPr>
          <w:color w:val="000000"/>
        </w:rPr>
        <w:t>ἓν τὸ πᾶν - ‘The All is One’.</w:t>
      </w:r>
    </w:p>
    <w:p w14:paraId="684E3C95" w14:textId="77777777" w:rsidR="007F4B1D" w:rsidRDefault="00000000">
      <w:pPr>
        <w:pStyle w:val="normal1"/>
        <w:spacing w:line="480" w:lineRule="auto"/>
      </w:pPr>
      <w:r>
        <w:rPr>
          <w:color w:val="000000"/>
        </w:rPr>
        <w:t xml:space="preserve">In a memorable opening to </w:t>
      </w:r>
      <w:r>
        <w:rPr>
          <w:i/>
          <w:color w:val="000000"/>
        </w:rPr>
        <w:t xml:space="preserve">Paik's Virtual Archive: Time, Change, and Materiality in Media Art, </w:t>
      </w:r>
      <w:r>
        <w:rPr>
          <w:color w:val="000000"/>
        </w:rPr>
        <w:t xml:space="preserve">conservator and scholar Hanna Hölling recounts how she received the devastating news that </w:t>
      </w:r>
      <w:r>
        <w:rPr>
          <w:i/>
          <w:color w:val="000000"/>
        </w:rPr>
        <w:t xml:space="preserve">Canopus, </w:t>
      </w:r>
      <w:r>
        <w:rPr>
          <w:color w:val="000000"/>
        </w:rPr>
        <w:t xml:space="preserve">a laserdisc video work by Nam June Paik, had crashed down from a wall at her then-workplace. Disastrously, not only had all six of its monitors’ cathode ray tubes imploded, but its central chrome hubcap, replete with the artist’s signature, had been crushed beyond repair. </w:t>
      </w:r>
    </w:p>
    <w:p w14:paraId="1C76FDB8" w14:textId="77777777" w:rsidR="007F4B1D" w:rsidRDefault="00000000">
      <w:pPr>
        <w:pStyle w:val="normal1"/>
        <w:spacing w:line="480" w:lineRule="auto"/>
        <w:rPr>
          <w:color w:val="000000"/>
        </w:rPr>
      </w:pPr>
      <w:r>
        <w:rPr>
          <w:color w:val="000000"/>
        </w:rPr>
        <w:t xml:space="preserve">  </w:t>
      </w:r>
      <w:r>
        <w:rPr>
          <w:color w:val="000000"/>
        </w:rPr>
        <w:tab/>
        <w:t xml:space="preserve">By taking this and other Paik ‘multimedia installations’ (MMI) as the book’s narrative thread - originally her PhD - Hölling generously unpacks her theme: how does the identity of a multimedia artwork persist through every act of conservation, every replacement or renewal, every redisplay, and every re-interpretation, especially given its inexorable material decay along the way? </w:t>
      </w:r>
    </w:p>
    <w:p w14:paraId="1BF02A4D" w14:textId="77777777" w:rsidR="007F4B1D" w:rsidRDefault="00000000">
      <w:pPr>
        <w:pStyle w:val="normal1"/>
        <w:spacing w:line="480" w:lineRule="auto"/>
        <w:rPr>
          <w:color w:val="000000"/>
        </w:rPr>
      </w:pPr>
      <w:r>
        <w:rPr>
          <w:color w:val="000000"/>
        </w:rPr>
        <w:tab/>
        <w:t xml:space="preserve">Conservation has always helped cut a particular cloth in terms of identity and meaning and part of Hölling’s quest is to understand the limits to the changes conservation effects, and how such changes impact an artwork’s continuing identity. After all, conservation is all about managing change, at the same time it involves the ‘creative destruction of alternative futures’, as Erica Avrami once put it in her chapter 'Heritage, Values and Sustainability' in the 2009 book, </w:t>
      </w:r>
      <w:r>
        <w:rPr>
          <w:i/>
          <w:color w:val="000000"/>
        </w:rPr>
        <w:t>Conservation: Principles, Dilemmas, and Uncomfortable Truths</w:t>
      </w:r>
      <w:r>
        <w:rPr>
          <w:color w:val="000000"/>
        </w:rPr>
        <w:t>.</w:t>
      </w:r>
    </w:p>
    <w:p w14:paraId="67939720" w14:textId="5C3D31A3" w:rsidR="007F4B1D" w:rsidRDefault="00000000">
      <w:pPr>
        <w:pStyle w:val="normal1"/>
        <w:spacing w:line="480" w:lineRule="auto"/>
      </w:pPr>
      <w:r>
        <w:rPr>
          <w:color w:val="000000"/>
        </w:rPr>
        <w:tab/>
        <w:t xml:space="preserve">Paik is used in a ‘bottom-up’ approach to talk about much of media art since the 1960s and Hölling convincingly argues over the first part of the book, ‘Concept and Materiality’, that any MMI, by its very nature, embraces change. From the replacement of components and the use of non-original playback mechanisms, to the spatial and part-to-part reconfigurations for its next gallery exhibition, let alone any artistic capriciousness that might accompany a particular realisation, all suggest to her – and as others have pointed out - that such a material fluidity privileges media art’s ‘conceptual character’ as a score or instruction set (33).  While acknowledging Boris Groys’ observation that all art ontologically </w:t>
      </w:r>
      <w:r>
        <w:rPr>
          <w:color w:val="000000"/>
        </w:rPr>
        <w:lastRenderedPageBreak/>
        <w:t xml:space="preserve">needs materialising (15), she posits that mutable works like Paik’s </w:t>
      </w:r>
      <w:r>
        <w:rPr>
          <w:i/>
          <w:color w:val="000000"/>
        </w:rPr>
        <w:t xml:space="preserve">Arche Noah </w:t>
      </w:r>
      <w:r>
        <w:rPr>
          <w:color w:val="000000"/>
        </w:rPr>
        <w:t>or</w:t>
      </w:r>
      <w:r>
        <w:rPr>
          <w:i/>
          <w:color w:val="000000"/>
        </w:rPr>
        <w:t xml:space="preserve"> TV Garden – </w:t>
      </w:r>
      <w:r>
        <w:rPr>
          <w:color w:val="000000"/>
        </w:rPr>
        <w:t xml:space="preserve">the former a three-channel video installation variously composed of 25 monitors, 2 laserdiscs and players, a wooden construction, and 9 papier-mâché animals, the latter an ever-changing arrangement of over 30 TV monitors and tropical plants -  must ‘exist’ somewhere in between their conceptual and materialised forms, as both ‘objects’ and ‘non-objects’. Borrowing a notion of ‘performativity’ from the philosopher J. L. Austin’s theory of ‘speech-acts’, she reports on differences in the various iterations of Paik’s </w:t>
      </w:r>
      <w:r>
        <w:rPr>
          <w:i/>
          <w:color w:val="000000"/>
        </w:rPr>
        <w:t>TV Garden</w:t>
      </w:r>
      <w:r>
        <w:rPr>
          <w:color w:val="000000"/>
        </w:rPr>
        <w:t xml:space="preserve"> between its first inception in 1974 to the 2008 version in South Korea to suggest how any ‘relics’ from one iteration pre-mediate its subsequent versioning while having also re-mediated something of previous versions.</w:t>
      </w:r>
      <w:r>
        <w:rPr>
          <w:rFonts w:ascii="Verdana" w:hAnsi="Verdana" w:cs="Verdana"/>
          <w:color w:val="000000"/>
          <w:sz w:val="20"/>
          <w:szCs w:val="20"/>
        </w:rPr>
        <w:t xml:space="preserve"> </w:t>
      </w:r>
      <w:r>
        <w:rPr>
          <w:color w:val="000000"/>
        </w:rPr>
        <w:t xml:space="preserve">She emphasises that where a work is formed from a mix of unique and replicable elements, each version performs a particular act of ‘concept-materiality’ just as an instrumental performance renders a particular execution of a musical score. Of course, with so many variants of </w:t>
      </w:r>
      <w:r>
        <w:rPr>
          <w:i/>
          <w:color w:val="000000"/>
        </w:rPr>
        <w:t>TV Garden</w:t>
      </w:r>
      <w:r>
        <w:rPr>
          <w:color w:val="000000"/>
        </w:rPr>
        <w:t xml:space="preserve"> she asks what is it that ‘makes a particular installation of </w:t>
      </w:r>
      <w:r>
        <w:rPr>
          <w:i/>
          <w:color w:val="000000"/>
        </w:rPr>
        <w:t>TV Garden</w:t>
      </w:r>
      <w:r>
        <w:rPr>
          <w:color w:val="000000"/>
        </w:rPr>
        <w:t xml:space="preserve"> a true </w:t>
      </w:r>
      <w:r>
        <w:rPr>
          <w:i/>
          <w:color w:val="000000"/>
        </w:rPr>
        <w:t>TV Garden?</w:t>
      </w:r>
      <w:r>
        <w:rPr>
          <w:color w:val="000000"/>
        </w:rPr>
        <w:t xml:space="preserve">’ (29). As a side note this reviewer saw a much reduced version of </w:t>
      </w:r>
      <w:r>
        <w:rPr>
          <w:i/>
          <w:color w:val="000000"/>
        </w:rPr>
        <w:t xml:space="preserve">TV Garden </w:t>
      </w:r>
      <w:r>
        <w:rPr>
          <w:color w:val="000000"/>
        </w:rPr>
        <w:t>in Tokyo in 2016</w:t>
      </w:r>
      <w:r>
        <w:rPr>
          <w:rFonts w:ascii="Verdana" w:hAnsi="Verdana" w:cs="Verdana"/>
          <w:color w:val="000000"/>
        </w:rPr>
        <w:t>.</w:t>
      </w:r>
    </w:p>
    <w:p w14:paraId="24198796" w14:textId="77777777" w:rsidR="007F4B1D" w:rsidRDefault="00000000">
      <w:pPr>
        <w:pStyle w:val="normal1"/>
        <w:spacing w:after="140" w:line="480" w:lineRule="auto"/>
        <w:rPr>
          <w:color w:val="000000"/>
        </w:rPr>
      </w:pPr>
      <w:r>
        <w:rPr>
          <w:color w:val="000000"/>
        </w:rPr>
        <w:tab/>
        <w:t>In the following chapter, ‘Conceptual and Material: Aspects of Media Art’, Hölling elaborates on the changeability inherent in MMI; the idea of its versioning around a score is embedded in the following chapter, ‘Musical Roots of Performed and Performative Media’. With these two propositions established, the rest of the book is set up to guide the reader into understanding just how the preservation of media art is necessarily bound up with the management, and not prevention of change, and consequently how conservation is integral not only to the persistence of any media art work’s identity but essential to its continued understanding and meaning. Its worth remembering here that this is not so dissimilar to the thinking previously circulated by groups inThe Dutch Foundation for the Conservation of Contemporary Art (SMBK) as well as the International Network for the Conservation of Contemporary Art (INCAA).</w:t>
      </w:r>
    </w:p>
    <w:p w14:paraId="02733A9F" w14:textId="77777777" w:rsidR="007F4B1D" w:rsidRDefault="00000000">
      <w:pPr>
        <w:pStyle w:val="normal1"/>
        <w:spacing w:line="480" w:lineRule="auto"/>
      </w:pPr>
      <w:r>
        <w:rPr>
          <w:color w:val="000000"/>
        </w:rPr>
        <w:lastRenderedPageBreak/>
        <w:tab/>
        <w:t xml:space="preserve">While the book promises a practice-driven theory to elaborate how conservators are significant agents of change in an artwork’s biography, Hölling, following Pip Laurenson (‘Authenticity, Change and Loss in the Conservation of Time-Based Media Installations’, </w:t>
      </w:r>
      <w:r>
        <w:rPr>
          <w:i/>
          <w:color w:val="000000"/>
        </w:rPr>
        <w:t>Tate Papers</w:t>
      </w:r>
      <w:r>
        <w:rPr>
          <w:color w:val="000000"/>
        </w:rPr>
        <w:t xml:space="preserve">, no.6, Autumn 2006), soon peregrinates around Nelson Goodman’s analysis of the reproducibility (as forgery) of art, both before and after the age of mechanical reproduction (48-50). </w:t>
      </w:r>
    </w:p>
    <w:p w14:paraId="199C90EC" w14:textId="77777777" w:rsidR="007F4B1D" w:rsidRDefault="00000000">
      <w:pPr>
        <w:pStyle w:val="normal1"/>
        <w:spacing w:line="480" w:lineRule="auto"/>
      </w:pPr>
      <w:r>
        <w:rPr>
          <w:color w:val="000000"/>
        </w:rPr>
        <w:tab/>
        <w:t>Briefly, Goodman argued that there are two kinds of art: allographic, where works are based on a notational form that exists outside the representation itself (music, theatre etc), and autographic, where works exist as authored singularities (sculpture, painting, handwritten scores etc), and it is the latter that are forgeable. For the conservation of time-based media art, Laurenson suggested that conservators cannot operate ‘in the traditional conceptual framework of conservation’ because it relies on a notion of material authenticity only appropriate for autographic works - as time-based media art is non-autographic then as ‘the ontological framework shifts, then we expect a similar shift in our concepts of authenticity, change and loss’.</w:t>
      </w:r>
    </w:p>
    <w:p w14:paraId="26707931" w14:textId="77777777" w:rsidR="007F4B1D" w:rsidRDefault="00000000">
      <w:pPr>
        <w:pStyle w:val="normal1"/>
        <w:spacing w:line="480" w:lineRule="auto"/>
        <w:rPr>
          <w:color w:val="000000"/>
        </w:rPr>
      </w:pPr>
      <w:r>
        <w:rPr>
          <w:color w:val="000000"/>
          <w:sz w:val="20"/>
          <w:szCs w:val="20"/>
        </w:rPr>
        <w:tab/>
      </w:r>
      <w:r>
        <w:rPr>
          <w:color w:val="000000"/>
        </w:rPr>
        <w:t xml:space="preserve">Where Laurenson and Hölling are nuanced in understanding that allographic works can also contain persistent autographic elements, importantly, Goodman understood all arts as initially autographic (including music), but only until the creation of a system of notation that enables their reproduction, however unlikely it might appear to be. As such, each notational element must be minimally decideable in terms of identity (playback) and finitude (record), and anything undecideable will be ignored such that ‘æ’ is remaindered in a system that only inscribes ‘a’ and ‘e’. This is important for understanding the consequences for preserving media art given the ontological shift both Laurenson and Hölling suggest - not only is decideability obviously important computationally-speaking, but it also underlies the latter part of Hölling’s thesis, which, as we shall see, is grounded in acts of inscription. </w:t>
      </w:r>
    </w:p>
    <w:p w14:paraId="43E613E8" w14:textId="77777777" w:rsidR="007F4B1D" w:rsidRDefault="00000000">
      <w:pPr>
        <w:pStyle w:val="normal1"/>
        <w:spacing w:line="480" w:lineRule="auto"/>
        <w:rPr>
          <w:color w:val="000000"/>
        </w:rPr>
      </w:pPr>
      <w:r>
        <w:rPr>
          <w:color w:val="000000"/>
        </w:rPr>
        <w:tab/>
        <w:t xml:space="preserve"> What’s at stake is how to conceive of conservation with changeability at its heart while ensuring the integrity of the artwork. Put another way, what are the acceptable limits for the re-</w:t>
      </w:r>
      <w:r>
        <w:rPr>
          <w:color w:val="000000"/>
        </w:rPr>
        <w:lastRenderedPageBreak/>
        <w:t>interpretation and re-execution of media art work when it ‘is always mediated by and constructed in the present’? (58).</w:t>
      </w:r>
    </w:p>
    <w:p w14:paraId="6C969394" w14:textId="77777777" w:rsidR="007F4B1D" w:rsidRDefault="00000000">
      <w:pPr>
        <w:pStyle w:val="normal1"/>
        <w:spacing w:line="480" w:lineRule="auto"/>
        <w:rPr>
          <w:color w:val="000000"/>
        </w:rPr>
      </w:pPr>
      <w:r>
        <w:rPr>
          <w:color w:val="000000"/>
        </w:rPr>
        <w:tab/>
        <w:t xml:space="preserve">In the book’s second part, ‘Time and Changeability’, Hölling submits that conservation has never really addressed time beyond the sequential and that this needs a radical rethinking as ‘conservation is </w:t>
      </w:r>
      <w:r>
        <w:rPr>
          <w:i/>
          <w:color w:val="000000"/>
        </w:rPr>
        <w:t>about time</w:t>
      </w:r>
      <w:r>
        <w:rPr>
          <w:color w:val="000000"/>
        </w:rPr>
        <w:t xml:space="preserve"> and involves ways of </w:t>
      </w:r>
      <w:r>
        <w:rPr>
          <w:i/>
          <w:color w:val="000000"/>
        </w:rPr>
        <w:t>understanding</w:t>
      </w:r>
      <w:r>
        <w:rPr>
          <w:color w:val="000000"/>
        </w:rPr>
        <w:t xml:space="preserve"> </w:t>
      </w:r>
      <w:r>
        <w:rPr>
          <w:i/>
          <w:color w:val="000000"/>
        </w:rPr>
        <w:t>time</w:t>
      </w:r>
      <w:r>
        <w:rPr>
          <w:color w:val="000000"/>
        </w:rPr>
        <w:t>’ (61). The argument here is that if we have a better understanding of the ‘time of conservation’ we will be conceptually better equipped to manage changeability in the preservation of MMI.</w:t>
      </w:r>
    </w:p>
    <w:p w14:paraId="67A88EF9" w14:textId="77777777" w:rsidR="007F4B1D" w:rsidRDefault="00000000">
      <w:pPr>
        <w:pStyle w:val="normal1"/>
        <w:spacing w:line="480" w:lineRule="auto"/>
        <w:rPr>
          <w:color w:val="000000"/>
        </w:rPr>
      </w:pPr>
      <w:r>
        <w:rPr>
          <w:color w:val="000000"/>
        </w:rPr>
        <w:tab/>
        <w:t xml:space="preserve">By way of introduction she describes the sensuous and transformative proximities that engaged her while viewing Paik’s 1962-64 </w:t>
      </w:r>
      <w:r>
        <w:rPr>
          <w:i/>
          <w:color w:val="000000"/>
        </w:rPr>
        <w:t xml:space="preserve">Zen for Film </w:t>
      </w:r>
      <w:r>
        <w:rPr>
          <w:color w:val="000000"/>
        </w:rPr>
        <w:t xml:space="preserve">presented in three different forms in three different places - a 16mm projection, digital projection, and in a film canister in a vitrine. All three iterations suggest that the work’s identity haunts these forms of event, object and process - and Hölling corrals her art historical bent to affirm that this ontological shape-shifting is essential for the work’s preservation, making it unconservable in conventional terms: ‘the goal with </w:t>
      </w:r>
      <w:r>
        <w:rPr>
          <w:i/>
          <w:color w:val="000000"/>
        </w:rPr>
        <w:t xml:space="preserve">Zen for Film </w:t>
      </w:r>
      <w:r>
        <w:rPr>
          <w:color w:val="000000"/>
        </w:rPr>
        <w:t xml:space="preserve">must be </w:t>
      </w:r>
      <w:r>
        <w:rPr>
          <w:i/>
          <w:color w:val="000000"/>
        </w:rPr>
        <w:t>continuation</w:t>
      </w:r>
      <w:r>
        <w:rPr>
          <w:color w:val="000000"/>
        </w:rPr>
        <w:t xml:space="preserve"> rather than </w:t>
      </w:r>
      <w:r>
        <w:rPr>
          <w:i/>
          <w:color w:val="000000"/>
        </w:rPr>
        <w:t>conservation</w:t>
      </w:r>
      <w:r>
        <w:rPr>
          <w:color w:val="000000"/>
        </w:rPr>
        <w:t xml:space="preserve">’ (75). </w:t>
      </w:r>
    </w:p>
    <w:p w14:paraId="4881CA30" w14:textId="77777777" w:rsidR="007F4B1D" w:rsidRDefault="00000000">
      <w:pPr>
        <w:pStyle w:val="normal1"/>
        <w:spacing w:line="480" w:lineRule="auto"/>
        <w:rPr>
          <w:color w:val="000000"/>
        </w:rPr>
      </w:pPr>
      <w:r>
        <w:rPr>
          <w:color w:val="000000"/>
        </w:rPr>
        <w:tab/>
        <w:t>Continuation is pursued in the next chapter, ‘Changeability and Multimedia Art’, where intrinsic and extrinsic changes effected in relation to ‘spatial context’, technical upgrade, health and safety and the like are detailed. She reminds the reader how Paik encouraged upgrades and sanctioned changes through a form of certification that simply stated that modification does not ‘change the authenticity of this work as an original work by me’ (87). However, artists certifying largely allographic works as being resolutely autographic doesn’t get round the core problem of how to ensure the persistence of identity through change. Hölling suggests that ‘we could look at the</w:t>
      </w:r>
      <w:r>
        <w:rPr>
          <w:i/>
          <w:color w:val="000000"/>
        </w:rPr>
        <w:t xml:space="preserve"> degree of change</w:t>
      </w:r>
      <w:r>
        <w:rPr>
          <w:color w:val="000000"/>
        </w:rPr>
        <w:t xml:space="preserve"> permissable in a work, contingent on the work’s open or autographic character, and determined by the behavior of its components’ (91).</w:t>
      </w:r>
    </w:p>
    <w:p w14:paraId="36366436" w14:textId="77777777" w:rsidR="007F4B1D" w:rsidRDefault="00000000">
      <w:pPr>
        <w:pStyle w:val="normal1"/>
        <w:spacing w:line="480" w:lineRule="auto"/>
      </w:pPr>
      <w:r>
        <w:rPr>
          <w:color w:val="000000"/>
        </w:rPr>
        <w:tab/>
        <w:t xml:space="preserve">Looking, interpreting and decision-making in conservation, especially in museums and institutions, depend on context and resources, and muddling through the often incompatible approaches </w:t>
      </w:r>
      <w:r>
        <w:rPr>
          <w:color w:val="000000"/>
        </w:rPr>
        <w:lastRenderedPageBreak/>
        <w:t xml:space="preserve">expressed by different stakeholders, including curators and conservators. Where decisions are based around the </w:t>
      </w:r>
      <w:r>
        <w:rPr>
          <w:i/>
          <w:color w:val="000000"/>
        </w:rPr>
        <w:t xml:space="preserve">real-politik </w:t>
      </w:r>
      <w:r>
        <w:rPr>
          <w:color w:val="000000"/>
        </w:rPr>
        <w:t xml:space="preserve">of authorship, openness to reconfiguration and the extent of component changeability, limiting change, she suggests, is also underwritten by the wrangled understanding of ‘what changes violate common sense’ and are always a ‘matter of judgement’ (92). </w:t>
      </w:r>
    </w:p>
    <w:p w14:paraId="5FAF3E1D" w14:textId="77777777" w:rsidR="007F4B1D" w:rsidRDefault="00000000">
      <w:pPr>
        <w:pStyle w:val="normal1"/>
        <w:spacing w:line="480" w:lineRule="auto"/>
      </w:pPr>
      <w:r>
        <w:rPr>
          <w:color w:val="000000"/>
        </w:rPr>
        <w:tab/>
        <w:t xml:space="preserve">As these limits emerge they are ratified by being measured against an archive of a work, including its documentary strata of recordings, paperwork, images, diagrams, and so on. So the archive sets the limits ‘on what can be said or made’ (48), and ‘common sense’ aggregates the intuitions and sensory inputs of conservation’s first responders to express their collective felt-perception of something still unitary: an as-perceived continuity that links any replaced elements or inputs as belonging to the same change, and that change now belonging to the same work, and then inscribed into the same archive. If this appears Ouroboros-like in its recursion, so be it, but it’s also the crack from which perhaps a more radical thesis can emerge: we’ll return to this later. </w:t>
      </w:r>
    </w:p>
    <w:p w14:paraId="60EEB7D9" w14:textId="77777777" w:rsidR="007F4B1D" w:rsidRDefault="00000000">
      <w:pPr>
        <w:pStyle w:val="normal1"/>
        <w:spacing w:line="480" w:lineRule="auto"/>
      </w:pPr>
      <w:r>
        <w:rPr>
          <w:color w:val="000000"/>
        </w:rPr>
        <w:tab/>
        <w:t xml:space="preserve">In the chapter ‘Time and Conservation’, because in media art ‘time is out of joint’, Hölling asserts that conventional conservation cannot accommodate MMI because it depends on chronological time such that it always looks back to something frozen at some ‘captive moment’ in its history. </w:t>
      </w:r>
    </w:p>
    <w:p w14:paraId="410FED74" w14:textId="77777777" w:rsidR="007F4B1D" w:rsidRDefault="00000000">
      <w:pPr>
        <w:pStyle w:val="normal1"/>
        <w:spacing w:line="480" w:lineRule="auto"/>
      </w:pPr>
      <w:r>
        <w:rPr>
          <w:i/>
          <w:color w:val="000000"/>
        </w:rPr>
        <w:tab/>
      </w:r>
      <w:r>
        <w:rPr>
          <w:color w:val="000000"/>
        </w:rPr>
        <w:t>It’s perhaps a moot point but one that draws attention to why time is heavily mobilized here – as we have seen, any proposed changes are always compared against previous iterations of a work, and Hölling wants to bolster her argument that a newer understanding of time would override the tendency to privilege the earliest version as being more or less ‘original’ or ‘authentic’ just because of the chronology of its execution (95). This then allows her to suggest that all iterations of MMI should be considered temporally equivalent and that, importantly, contemporary conservation should be aware of its ‘process [of] manufacturing historicity and actually producing something new’, the results of which are then deposited ‘irreversibly to the archive’ (99-100).</w:t>
      </w:r>
    </w:p>
    <w:p w14:paraId="1B154B04" w14:textId="77777777" w:rsidR="007F4B1D" w:rsidRDefault="00000000">
      <w:pPr>
        <w:pStyle w:val="normal1"/>
        <w:spacing w:line="480" w:lineRule="auto"/>
      </w:pPr>
      <w:r>
        <w:rPr>
          <w:i/>
          <w:color w:val="000000"/>
        </w:rPr>
        <w:tab/>
      </w:r>
      <w:r>
        <w:rPr>
          <w:color w:val="000000"/>
        </w:rPr>
        <w:t xml:space="preserve">While it is true that the tropes of ‘reversability’ and ‘minimal intervention’ suggest linearity, the argument that the field itself has ‘overlooked the concept of time’ (95) is misplaced. If ‘professional </w:t>
      </w:r>
      <w:r>
        <w:rPr>
          <w:color w:val="000000"/>
        </w:rPr>
        <w:lastRenderedPageBreak/>
        <w:t>writing’ has failed to provide any compelling meta-narrative, that objects are subject to a mix of processes all unfolding at different rates and speeds , such temporal dissonance and paradoxes are arguably familiar to many practicing conservators.</w:t>
      </w:r>
      <w:r>
        <w:rPr>
          <w:i/>
          <w:color w:val="000000"/>
        </w:rPr>
        <w:t xml:space="preserve"> </w:t>
      </w:r>
      <w:r>
        <w:rPr>
          <w:color w:val="000000"/>
        </w:rPr>
        <w:t xml:space="preserve">For example, an impermeable paint ‘jacket’ sometimes preserves the form in which the now disaggregated stone under it was once carved, even though it is the paint itself that has caused the stone’s disintegration. Previous repairs are also commonly recorded with some left in situ while others are removed during any one treatment and incorporated in the archive. Equally there is the pragmatic understanding that the authentic condition is that of the present, and that any so-called ‘return’ to the ‘original’ is only an exercise in attempting to project a phenomenal </w:t>
      </w:r>
      <w:r>
        <w:rPr>
          <w:i/>
          <w:color w:val="000000"/>
        </w:rPr>
        <w:t xml:space="preserve">sui generis </w:t>
      </w:r>
      <w:r>
        <w:rPr>
          <w:color w:val="000000"/>
        </w:rPr>
        <w:t>fashioned from the interplay of the present-day item and its archive of ‘nonsensuous similarities’ - those transcriptions of vitality that Walter Benjamin suggested, in a remonstration on modern day archives, are rendered with ‘only minimal residues of the magical correspondences and analogies that were familiar to ancient peoples’.</w:t>
      </w:r>
      <w:r>
        <w:rPr>
          <w:i/>
          <w:color w:val="000000"/>
        </w:rPr>
        <w:t xml:space="preserve"> </w:t>
      </w:r>
    </w:p>
    <w:p w14:paraId="1AEBA40F" w14:textId="77777777" w:rsidR="007F4B1D" w:rsidRDefault="00000000">
      <w:pPr>
        <w:pStyle w:val="normal1"/>
        <w:spacing w:line="480" w:lineRule="auto"/>
      </w:pPr>
      <w:r>
        <w:rPr>
          <w:color w:val="000000"/>
        </w:rPr>
        <w:tab/>
        <w:t xml:space="preserve">Practice certainly drives theory and there are many ‘traditional’ art forms that ill fit with the questions concerning chronological time, original beginnings or being authentic – there are many organic and inorganic examples found in monuments and sculpture, buildings, stained glass, cave painting, armour and so on. So this reviewer was slightly discomforted by the inversion dealt in presenting an understanding of heterotemporality, where ‘the present involves a past and anticipates a future’, marshalled around a theoretical dérive through philosopher Gilles Deleuzes’ reading of Henri Bergson’s metaphysical concept of </w:t>
      </w:r>
      <w:r>
        <w:rPr>
          <w:i/>
          <w:color w:val="000000"/>
        </w:rPr>
        <w:t>durée</w:t>
      </w:r>
      <w:r>
        <w:rPr>
          <w:color w:val="000000"/>
        </w:rPr>
        <w:t xml:space="preserve">, ‘succession without distinction’(101), in which time is immersive and indivisible, multiplicitous and processual. </w:t>
      </w:r>
    </w:p>
    <w:p w14:paraId="5D01917D" w14:textId="77777777" w:rsidR="007F4B1D" w:rsidRDefault="00000000">
      <w:pPr>
        <w:pStyle w:val="normal1"/>
        <w:spacing w:line="480" w:lineRule="auto"/>
      </w:pPr>
      <w:r>
        <w:rPr>
          <w:color w:val="000000"/>
        </w:rPr>
        <w:tab/>
        <w:t xml:space="preserve">Nevertheless, the point of a sometimes verbose litany of quotation is to contrast Bergsonian time with the tendency in conservation towards the ‘fragmentation of an object’s identity into externally related moments’. Underlying Höllings’ approach is Bergson’s ontology, one of </w:t>
      </w:r>
      <w:r>
        <w:rPr>
          <w:i/>
          <w:color w:val="000000"/>
        </w:rPr>
        <w:t xml:space="preserve">élan vital, </w:t>
      </w:r>
      <w:r>
        <w:rPr>
          <w:color w:val="000000"/>
        </w:rPr>
        <w:t xml:space="preserve">of vital impetus, in which there is nothing but energy which unfolds as continuous process. So where a </w:t>
      </w:r>
      <w:r>
        <w:rPr>
          <w:color w:val="000000"/>
        </w:rPr>
        <w:lastRenderedPageBreak/>
        <w:t>stone appears inert to our rational minds, beyond our analytical gaze the stone is continuously manifesting itself as an ever-changing processual phenomenon.</w:t>
      </w:r>
    </w:p>
    <w:p w14:paraId="20375189" w14:textId="77777777" w:rsidR="007F4B1D" w:rsidRDefault="00000000">
      <w:pPr>
        <w:pStyle w:val="normal1"/>
        <w:spacing w:line="480" w:lineRule="auto"/>
      </w:pPr>
      <w:r>
        <w:rPr>
          <w:color w:val="000000"/>
        </w:rPr>
        <w:tab/>
        <w:t xml:space="preserve">All this top down spadework leads to the modest conclusion, ‘that artworks construct in the present a durational identity that “contains” many different pasts’ and this means any act of ‘conservation becomes a temporal intervention that changes and interprets objects..’ (105) Here, </w:t>
      </w:r>
      <w:r>
        <w:rPr>
          <w:color w:val="333333"/>
        </w:rPr>
        <w:t>Hölling</w:t>
      </w:r>
      <w:r>
        <w:rPr>
          <w:color w:val="000000"/>
        </w:rPr>
        <w:t xml:space="preserve"> acknowledges her debt to several conservation theorists including Salvador Muñoz Viñas, Vivian van Saaze and the late David Lowenthal. In supporting her case ,Chapter 7’s ‘Heterotemporalities’ elaborates further on the theme of temporal disjuncture and the reformulation of the ‘time of conservation’ as being a present-moment layered with the past and near-future via an interpretation of Marcel Duchamps’ </w:t>
      </w:r>
      <w:r>
        <w:rPr>
          <w:i/>
          <w:color w:val="000000"/>
        </w:rPr>
        <w:t>Network of Stoppages</w:t>
      </w:r>
      <w:r>
        <w:rPr>
          <w:color w:val="000000"/>
        </w:rPr>
        <w:t xml:space="preserve"> (125) to illustrate how in approaching media art, conservation needs to accept the temporal dissonances of its 'vibrant matter’ (cf. the eponymous book by Jane Bennett in 2010)</w:t>
      </w:r>
      <w:r>
        <w:rPr>
          <w:color w:val="000000"/>
          <w:vertAlign w:val="superscript"/>
        </w:rPr>
        <w:t xml:space="preserve"> </w:t>
      </w:r>
      <w:r>
        <w:rPr>
          <w:color w:val="000000"/>
        </w:rPr>
        <w:t>which otherwise the artificiality of ‘museum time’ tries to arrest (130-131).</w:t>
      </w:r>
    </w:p>
    <w:p w14:paraId="053FC88B" w14:textId="77777777" w:rsidR="007F4B1D" w:rsidRDefault="00000000">
      <w:pPr>
        <w:pStyle w:val="normal1"/>
        <w:spacing w:line="480" w:lineRule="auto"/>
        <w:rPr>
          <w:color w:val="000000"/>
        </w:rPr>
      </w:pPr>
      <w:r>
        <w:rPr>
          <w:color w:val="000000"/>
        </w:rPr>
        <w:tab/>
        <w:t xml:space="preserve">The answer, unsurprisingly, in reconciling measured time with nonlinear, cosmic time, lies in their narrative inscription in the archive. The ‘conservation narrative’ (132) is vested with the capacity to mediate the inner and outer times of media art works as it ‘ultimately creates a space where the different temporalities of changeable artworks and outer time can be encountered and negotiated’. In stating that it is precisely in this archive ‘where the continuity of an artwork is maintained’ (133), Hölling attests that it is only in the archive of </w:t>
      </w:r>
      <w:r>
        <w:rPr>
          <w:i/>
          <w:color w:val="000000"/>
        </w:rPr>
        <w:t>Canopus</w:t>
      </w:r>
      <w:r>
        <w:rPr>
          <w:color w:val="000000"/>
        </w:rPr>
        <w:t xml:space="preserve"> that the options and final decisions not to restore the hubcap but replace its CRT monitors are inscribed.</w:t>
      </w:r>
      <w:r>
        <w:rPr>
          <w:color w:val="000000"/>
        </w:rPr>
        <w:tab/>
      </w:r>
    </w:p>
    <w:p w14:paraId="7AFD32D1" w14:textId="77777777" w:rsidR="007F4B1D" w:rsidRDefault="00000000">
      <w:pPr>
        <w:pStyle w:val="normal1"/>
        <w:spacing w:line="480" w:lineRule="auto"/>
      </w:pPr>
      <w:r>
        <w:rPr>
          <w:color w:val="000000"/>
        </w:rPr>
        <w:t xml:space="preserve">  In the final part of the book, ‘Archive and Identity’, Hölling first describes the </w:t>
      </w:r>
      <w:r>
        <w:rPr>
          <w:i/>
          <w:color w:val="000000"/>
        </w:rPr>
        <w:t xml:space="preserve">Shikinen Sengu </w:t>
      </w:r>
      <w:r>
        <w:rPr>
          <w:color w:val="000000"/>
        </w:rPr>
        <w:t>ritual</w:t>
      </w:r>
      <w:r>
        <w:rPr>
          <w:i/>
          <w:color w:val="000000"/>
        </w:rPr>
        <w:t xml:space="preserve"> </w:t>
      </w:r>
      <w:r>
        <w:rPr>
          <w:color w:val="000000"/>
        </w:rPr>
        <w:t xml:space="preserve">at Ise Jingu, a Shinto shrine in Japan - every 20 years since 690AD its wooden structure has been entirely replaced - as an active example of how an item maintains ‘spatio-temporal continuity’ even after changing all its elements. Such a mereological conceit is not unfamiliar to conservators working with historic buildings or decorative design and it underlines Groys’ remonstration that a concept only exists </w:t>
      </w:r>
      <w:r>
        <w:rPr>
          <w:color w:val="000000"/>
        </w:rPr>
        <w:lastRenderedPageBreak/>
        <w:t xml:space="preserve">in its iteration. However, where the mereology of Paik’s </w:t>
      </w:r>
      <w:r>
        <w:rPr>
          <w:i/>
          <w:color w:val="000000"/>
        </w:rPr>
        <w:t xml:space="preserve">Arche Noah </w:t>
      </w:r>
      <w:r>
        <w:rPr>
          <w:color w:val="000000"/>
        </w:rPr>
        <w:t xml:space="preserve">could allow it to ‘shed its plants and audiovisual apparatus in favor of new arrangements without annulling its identity’ (139), for </w:t>
      </w:r>
      <w:r>
        <w:rPr>
          <w:i/>
          <w:color w:val="000000"/>
        </w:rPr>
        <w:t xml:space="preserve">Canopus </w:t>
      </w:r>
      <w:r>
        <w:rPr>
          <w:color w:val="000000"/>
        </w:rPr>
        <w:t xml:space="preserve">its hubcap anchors it firmly to the autographic, suggesting a second approach to identity firmly allied to the ‘traditional’ concerns of conservation. And a third complicating strand affecting identity is found in the many variants of </w:t>
      </w:r>
      <w:r>
        <w:rPr>
          <w:i/>
          <w:color w:val="000000"/>
        </w:rPr>
        <w:t xml:space="preserve">TV Garden </w:t>
      </w:r>
      <w:r>
        <w:rPr>
          <w:color w:val="000000"/>
        </w:rPr>
        <w:t>which, because they are legitimized by instruction, can be individually asserted as the work itself (140).</w:t>
      </w:r>
    </w:p>
    <w:p w14:paraId="5E937037" w14:textId="77777777" w:rsidR="007F4B1D" w:rsidRDefault="00000000">
      <w:pPr>
        <w:pStyle w:val="normal1"/>
        <w:spacing w:line="480" w:lineRule="auto"/>
      </w:pPr>
      <w:r>
        <w:rPr>
          <w:color w:val="000000"/>
        </w:rPr>
        <w:tab/>
        <w:t xml:space="preserve">Hölling thus extolls how it is only in the continuity of its archive that a work’s identity can be understood as persisting through all the permutations of its execution. In Chapter 8, ‘the Material and Immaterial Archive’, she explores how time not only governs works but their archives, which similarly encompass time, concepts and materiality as ‘an index of evolving attitudes towards objects, the contingency of time, discourse, and culture’ (9). The archive is not a fixed library of things but understood by Hölling as being performative, open and active, just like the MMI it accessions, and equally subject to change and aperiodically de- and re-activated by each iteration of a work. In a comprehensive exegesis such ideas can be found in the 2003's </w:t>
      </w:r>
      <w:r>
        <w:rPr>
          <w:i/>
          <w:color w:val="000000"/>
        </w:rPr>
        <w:t xml:space="preserve">Information is Alive </w:t>
      </w:r>
      <w:r>
        <w:rPr>
          <w:color w:val="000000"/>
        </w:rPr>
        <w:t>(</w:t>
      </w:r>
      <w:hyperlink r:id="rId4">
        <w:r>
          <w:rPr>
            <w:color w:val="000080"/>
            <w:u w:val="single"/>
          </w:rPr>
          <w:t>http://v2.nl/publishing/information-is-alive</w:t>
        </w:r>
      </w:hyperlink>
      <w:r>
        <w:rPr>
          <w:color w:val="000080"/>
          <w:u w:val="single"/>
        </w:rPr>
        <w:t>)</w:t>
      </w:r>
      <w:r>
        <w:rPr>
          <w:color w:val="000000"/>
        </w:rPr>
        <w:t xml:space="preserve">, where archives of facts, genetics, bodies, language and the unconscious were discussed in relation to art, databases and software. Crucially for Hölling the archive is alive because it is also made up of those intangible elements that remain as outliers of transcription, such as the accumulated and tacit know-how, gesture and memory - including how ‘one just has to understand how Paik worked’ - of those people associated with Paik's ouevre (152). </w:t>
      </w:r>
    </w:p>
    <w:p w14:paraId="5944C439" w14:textId="77777777" w:rsidR="007F4B1D" w:rsidRDefault="00000000">
      <w:pPr>
        <w:pStyle w:val="normal1"/>
        <w:spacing w:line="480" w:lineRule="auto"/>
      </w:pPr>
      <w:r>
        <w:rPr>
          <w:color w:val="000000"/>
        </w:rPr>
        <w:tab/>
        <w:t xml:space="preserve">Hölling again acknowledges Boris Groys for whom ‘writing’ is a ‘process that aims to compensate for its loss of origins: it’s always insufficient to the oral statement that precedes it, and always additive’ (148). She might also have referred to Bergson who in </w:t>
      </w:r>
      <w:r>
        <w:rPr>
          <w:i/>
          <w:color w:val="000000"/>
        </w:rPr>
        <w:t>The Creative Mind</w:t>
      </w:r>
      <w:r>
        <w:rPr>
          <w:color w:val="000000"/>
        </w:rPr>
        <w:t xml:space="preserve">  recognises that our rational minds can in some way apprehend things that have slowed – a stone’s movement is easier to predict than Brownian motion - but suggests that in relation to the </w:t>
      </w:r>
      <w:r>
        <w:rPr>
          <w:i/>
          <w:color w:val="000000"/>
        </w:rPr>
        <w:t>élan vital</w:t>
      </w:r>
      <w:r>
        <w:rPr>
          <w:color w:val="000000"/>
        </w:rPr>
        <w:t xml:space="preserve"> our transcriptions can never bring us anywhere close: ‘a representation taken from a certain point of view, a translation </w:t>
      </w:r>
      <w:r>
        <w:rPr>
          <w:color w:val="000000"/>
        </w:rPr>
        <w:lastRenderedPageBreak/>
        <w:t xml:space="preserve">made with certain symbols still remain imperfect in comparison with the object whose picture has been taken or which the symbols seek to express’. </w:t>
      </w:r>
    </w:p>
    <w:p w14:paraId="3E289B2B" w14:textId="77777777" w:rsidR="007F4B1D" w:rsidRDefault="00000000">
      <w:pPr>
        <w:pStyle w:val="normal1"/>
        <w:spacing w:line="480" w:lineRule="auto"/>
      </w:pPr>
      <w:r>
        <w:rPr>
          <w:color w:val="000000"/>
        </w:rPr>
        <w:tab/>
        <w:t xml:space="preserve">Because this archive ecology is performative, information loss is inevitable even when as ‘mundane as the ability or inability to read instructions’(165). Loss and the problem of undecideables suggest to this reviewer an inevitable drift in ‘the storytelling that accompanies the activation of the record’ (153). But where the conservation narrative actuates the next iteration, in turn it becomes a story to be inscribed back into the archive. This recursive process of inscription, as the penultimate chapter ‘Archival Implications’ implies, is tethered to the identity of a media art work by the latter’s capacity - as in Paik’s </w:t>
      </w:r>
      <w:r>
        <w:rPr>
          <w:i/>
          <w:color w:val="000000"/>
        </w:rPr>
        <w:t xml:space="preserve">Untitled (Piano) </w:t>
      </w:r>
      <w:r>
        <w:rPr>
          <w:color w:val="000000"/>
        </w:rPr>
        <w:t>and in other forms of art – to embody any change in its materiality analogous to a self-archiving (162-163). Such self-archiving by objects is a familiar conservation trope and one reified in various conservation charters since the 1960s.</w:t>
      </w:r>
    </w:p>
    <w:p w14:paraId="36D5A001" w14:textId="77777777" w:rsidR="007F4B1D" w:rsidRDefault="00000000">
      <w:pPr>
        <w:pStyle w:val="normal1"/>
        <w:spacing w:line="480" w:lineRule="auto"/>
      </w:pPr>
      <w:r>
        <w:rPr>
          <w:color w:val="000000"/>
        </w:rPr>
        <w:tab/>
        <w:t xml:space="preserve">Conservation’s actants are thus interpretative and creative in their interventions and recreations, drawn and redrawn between the object and its archive. As such, Hölling asserts that the question of the ‘dialectic of concept and material explored at the beginning of this book’ is resolved as the archive is always active in ‘presencing’ the artwork through an enduring ‘temporal materiality' that connects its past and present and guides its probable future (164). Any permissibility for change is prescribed by the ‘common-sense’ and ‘judgement’ of those involved in this ecology, presumably as a product of their deliberations of the possibilities it presents to them, and autographic links, as with </w:t>
      </w:r>
      <w:r>
        <w:rPr>
          <w:i/>
          <w:color w:val="000000"/>
        </w:rPr>
        <w:t>Canopus</w:t>
      </w:r>
      <w:r>
        <w:rPr>
          <w:color w:val="000000"/>
        </w:rPr>
        <w:t xml:space="preserve">, feature heavily under the rubric. Concomitantly, the limits on the persistence of identity are when ‘an artwork is completely detached from its origins’ (165) with the last autographic element lost, the archive destroyed, or all a works’ custodians or ‘transmitters’ have passed on, such that ‘their forgetfulness would result in a new identity for the artwork’ (165). And because she reminds the reader in her brief conclusion that ‘the argument of this book, although it focuses on Paik’s media art, applies to other artworks characterized by continual rematerialization, changeability, heterogeneity, and temporal </w:t>
      </w:r>
      <w:r>
        <w:rPr>
          <w:color w:val="000000"/>
        </w:rPr>
        <w:lastRenderedPageBreak/>
        <w:t xml:space="preserve">materiality’ (168), these are the conditions for the demise of any such artwork, even those smashed against the foot of some Aristotelian bastion. </w:t>
      </w:r>
    </w:p>
    <w:p w14:paraId="3C6828F8" w14:textId="77777777" w:rsidR="007F4B1D" w:rsidRDefault="00000000">
      <w:pPr>
        <w:pStyle w:val="normal1"/>
        <w:spacing w:line="480" w:lineRule="auto"/>
      </w:pPr>
      <w:r>
        <w:rPr>
          <w:color w:val="000000"/>
        </w:rPr>
        <w:tab/>
        <w:t xml:space="preserve">Hölling’s thesis is, of course, very appealing and not without precedent. That the archive can be considered as an epistemic entity that extends over time and changes in the course of this extension just as the art works pursued do within its confines, means that neither archive nor artwork, as a joint ecology, are ever the final products of their processes. Such extension also means information loss is endemic, not only because of the incommensurability of the ecology under scrutiny with the means of transcription, as Hölling rightly acknowledges (146), but also because, more simply, that the decisions made about an artwork can also be the products of different and tangential ecologies that lie off-stage beyond the immediacy of any conservation narrative.  </w:t>
      </w:r>
    </w:p>
    <w:p w14:paraId="02F88D6F" w14:textId="77777777" w:rsidR="007F4B1D" w:rsidRDefault="00000000">
      <w:pPr>
        <w:pStyle w:val="normal1"/>
        <w:spacing w:line="480" w:lineRule="auto"/>
      </w:pPr>
      <w:r>
        <w:rPr>
          <w:color w:val="000000"/>
        </w:rPr>
        <w:tab/>
        <w:t>From the outset Hölling’s enquiry was charged with saying something about the ontology of art. Where specific production processes are discussed, they are always aligned with one side or other of the Goodman coin and arguably the book succeeds in characterizing those autographically-anchored MMI’s from the recent past in its proposed framework. However its thesis begins to fracture the further forward we look into the emerging trends and means of production found in the media art of our present-day culture. In this the thesis cannot reconcile the two epistemes invoked – the limits to identity -- based on the Goodman binary along with some spatio-temporal continuity thrown-in -- played against processes in which both art and conservation’s ontological horizons unerringly unfold together confluent on only one side of that coin.</w:t>
      </w:r>
    </w:p>
    <w:p w14:paraId="14569EEA" w14:textId="77777777" w:rsidR="007F4B1D" w:rsidRDefault="00000000">
      <w:pPr>
        <w:pStyle w:val="normal1"/>
        <w:spacing w:line="480" w:lineRule="auto"/>
      </w:pPr>
      <w:r>
        <w:rPr>
          <w:color w:val="000000"/>
        </w:rPr>
        <w:tab/>
        <w:t xml:space="preserve">In fact, as noted earlier, Goodman anticipated the potential for full allographic production under his own terms. In thinking through the logic of this we can perhaps see how in contemporary cultural production there is an exponential amount of redundancy for his binary given that in an age of increasing undecideables its effective scope appears undermined by the surfeit of complex distributed agencies – from human to machinic - of which, of course, Paik was an early experimenter (cf. the computational art works made during his residency at Bell Labs in 1967-8). Needless to say computer </w:t>
      </w:r>
      <w:r>
        <w:rPr>
          <w:color w:val="000000"/>
        </w:rPr>
        <w:lastRenderedPageBreak/>
        <w:t>programs are allographic and most importantly, under Goodman’s definition and Hölling’s conditions for limiting change, this means that the demise of the artwork’s singularity is accelerated by the computational means deployed in the production of contemporary culture. As a footnote, we might also find that for a long time many kinds of art, old and new, have complex biographies involving many kinds of allographic distributions in their productive forces and components, sometimes without any discernible ontogenic moment or agency.</w:t>
      </w:r>
    </w:p>
    <w:p w14:paraId="5A1B2457" w14:textId="77777777" w:rsidR="007F4B1D" w:rsidRDefault="00000000">
      <w:pPr>
        <w:pStyle w:val="normal1"/>
        <w:spacing w:line="480" w:lineRule="auto"/>
      </w:pPr>
      <w:r>
        <w:rPr>
          <w:color w:val="000000"/>
        </w:rPr>
        <w:tab/>
        <w:t>Furthermore, if we revisit the etymology of autography and allography we will find that, stripped out of Goodman’s schema, an allograph is a form of ‘other writing’ where the same grapheme is repeatable in different hands (</w:t>
      </w:r>
      <w:r>
        <w:rPr>
          <w:i/>
          <w:color w:val="000000"/>
        </w:rPr>
        <w:t xml:space="preserve">allo </w:t>
      </w:r>
      <w:r>
        <w:rPr>
          <w:color w:val="000000"/>
        </w:rPr>
        <w:t xml:space="preserve">is Greek for ‘other’) and ‘allograph’ as a noun is consistent with ‘writing made by another person’ such as a deed or title, or anything ‘written by any of the parties to it’. Thus it has long been this reviewer’s contention that Goodman’s binary fails for most art given that the actions of conservators and others can be considered as palimpsest-like ‘many writings’ that aperiodically adumbrate the autographic sovereignty of an artwork, making it always collaborative if drawn out over a much longer timespan than any MMI (for some projects Paik said he contributed ‘maybe 30%’ of the work (39)). Whatever its autographic components at creation, it always has the hands of more and more others re-presenting it the further away it is from its ontogenetic moment. </w:t>
      </w:r>
    </w:p>
    <w:p w14:paraId="5E4E0A53" w14:textId="77777777" w:rsidR="007F4B1D" w:rsidRDefault="00000000">
      <w:pPr>
        <w:pStyle w:val="normal1"/>
        <w:spacing w:line="480" w:lineRule="auto"/>
      </w:pPr>
      <w:r>
        <w:rPr>
          <w:i/>
          <w:color w:val="000000"/>
        </w:rPr>
        <w:tab/>
      </w:r>
      <w:r>
        <w:rPr>
          <w:color w:val="000000"/>
        </w:rPr>
        <w:t>If it is in this ‘present-future’ where the thesis slightly fractures then one can predict that the advance of the recursiveness of both the archive as an experimental system and the art it accessions makes them not only epistemically precarious but no less ontologically so. Hölling, knowingly or  unknowingly, hints at a radical future where any difference between art and archive become more and more equivocal in terms of authorship, curation and preservation. This creates space for a radical museology where the ‘new identity for the artwork’ (165) is co-constituted in concrete and creative intra-actions of the many minds, hands, and forms of matter in acts of horizontalizing cultural production.</w:t>
      </w:r>
    </w:p>
    <w:p w14:paraId="72EF017E" w14:textId="77777777" w:rsidR="007F4B1D" w:rsidRDefault="00000000">
      <w:pPr>
        <w:pStyle w:val="normal1"/>
      </w:pPr>
      <w:r>
        <w:rPr>
          <w:b/>
          <w:i/>
          <w:color w:val="000000"/>
          <w:sz w:val="22"/>
          <w:szCs w:val="22"/>
        </w:rPr>
        <w:t>WORDS – 3887</w:t>
      </w:r>
    </w:p>
    <w:p w14:paraId="56193BD4" w14:textId="77777777" w:rsidR="007F4B1D" w:rsidRDefault="007F4B1D">
      <w:pPr>
        <w:pStyle w:val="normal1"/>
        <w:rPr>
          <w:b/>
          <w:color w:val="000000"/>
          <w:sz w:val="22"/>
          <w:szCs w:val="22"/>
        </w:rPr>
      </w:pPr>
    </w:p>
    <w:p w14:paraId="21191400" w14:textId="77777777" w:rsidR="007F4B1D" w:rsidRDefault="00000000">
      <w:pPr>
        <w:pStyle w:val="normal1"/>
        <w:rPr>
          <w:color w:val="000000"/>
          <w:sz w:val="22"/>
          <w:szCs w:val="22"/>
        </w:rPr>
      </w:pPr>
      <w:r>
        <w:rPr>
          <w:color w:val="000000"/>
          <w:sz w:val="22"/>
          <w:szCs w:val="22"/>
        </w:rPr>
        <w:t>Dr Jonathan Kemp</w:t>
      </w:r>
    </w:p>
    <w:p w14:paraId="5A2111A0" w14:textId="77777777" w:rsidR="007F4B1D" w:rsidRDefault="00000000">
      <w:pPr>
        <w:pStyle w:val="normal1"/>
      </w:pPr>
      <w:r>
        <w:rPr>
          <w:color w:val="000000"/>
          <w:sz w:val="22"/>
          <w:szCs w:val="22"/>
        </w:rPr>
        <w:t>Researcher and Lecturer</w:t>
      </w:r>
    </w:p>
    <w:p w14:paraId="41AE07DC" w14:textId="77777777" w:rsidR="007F4B1D" w:rsidRDefault="00000000">
      <w:pPr>
        <w:pStyle w:val="normal1"/>
      </w:pPr>
      <w:r>
        <w:rPr>
          <w:color w:val="000000"/>
          <w:sz w:val="22"/>
          <w:szCs w:val="22"/>
        </w:rPr>
        <w:t>Grimwade Centre for Cultural Materials Conservation</w:t>
      </w:r>
    </w:p>
    <w:p w14:paraId="4C704981" w14:textId="77777777" w:rsidR="007F4B1D" w:rsidRDefault="00000000">
      <w:pPr>
        <w:pStyle w:val="normal1"/>
      </w:pPr>
      <w:r>
        <w:rPr>
          <w:color w:val="000000"/>
          <w:sz w:val="22"/>
          <w:szCs w:val="22"/>
        </w:rPr>
        <w:t>University of Melbourne</w:t>
      </w:r>
    </w:p>
    <w:p w14:paraId="0AC0B7C1" w14:textId="77777777" w:rsidR="007F4B1D" w:rsidRDefault="00000000">
      <w:pPr>
        <w:pStyle w:val="normal1"/>
      </w:pPr>
      <w:r>
        <w:rPr>
          <w:color w:val="000000"/>
          <w:sz w:val="22"/>
          <w:szCs w:val="22"/>
        </w:rPr>
        <w:t>jonathan.kemp@unimelb.edu.au</w:t>
      </w:r>
    </w:p>
    <w:p w14:paraId="1E560B15" w14:textId="77777777" w:rsidR="007F4B1D" w:rsidRDefault="007F4B1D">
      <w:pPr>
        <w:pStyle w:val="normal1"/>
        <w:rPr>
          <w:color w:val="000000"/>
        </w:rPr>
      </w:pPr>
    </w:p>
    <w:p w14:paraId="65F3DF4C" w14:textId="77777777" w:rsidR="007F4B1D" w:rsidRDefault="007F4B1D">
      <w:pPr>
        <w:pStyle w:val="normal1"/>
        <w:spacing w:line="288" w:lineRule="auto"/>
        <w:rPr>
          <w:color w:val="000000"/>
        </w:rPr>
      </w:pPr>
    </w:p>
    <w:p w14:paraId="57CA4910" w14:textId="77777777" w:rsidR="007F4B1D" w:rsidRDefault="007F4B1D">
      <w:pPr>
        <w:pStyle w:val="normal1"/>
        <w:spacing w:line="288" w:lineRule="auto"/>
        <w:rPr>
          <w:color w:val="000000"/>
        </w:rPr>
      </w:pPr>
    </w:p>
    <w:sectPr w:rsidR="007F4B1D">
      <w:pgSz w:w="12240" w:h="15840"/>
      <w:pgMar w:top="1134" w:right="1134" w:bottom="1134" w:left="1134" w:header="0" w:footer="0" w:gutter="0"/>
      <w:pgNumType w:start="1"/>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01"/>
    <w:family w:val="roman"/>
    <w:pitch w:val="variable"/>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Lucida Grande">
    <w:altName w:val="Franklin Gothic Medium Cond"/>
    <w:charset w:val="01"/>
    <w:family w:val="roman"/>
    <w:pitch w:val="variable"/>
  </w:font>
  <w:font w:name="Liberation Sans">
    <w:altName w:val="Arial"/>
    <w:charset w:val="01"/>
    <w:family w:val="swiss"/>
    <w:pitch w:val="variable"/>
  </w:font>
  <w:font w:name="Noto Sans CJK SC">
    <w:panose1 w:val="00000000000000000000"/>
    <w:charset w:val="00"/>
    <w:family w:val="roman"/>
    <w:notTrueType/>
    <w:pitch w:val="default"/>
  </w:font>
  <w:font w:name="Noto Sans Devanagari">
    <w:charset w:val="00"/>
    <w:family w:val="swiss"/>
    <w:pitch w:val="variable"/>
    <w:sig w:usb0="80008023" w:usb1="00002046"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autoHyphenation/>
  <w:hyphenationZone w:val="0"/>
  <w:characterSpacingControl w:val="doNotCompress"/>
  <w:compat>
    <w:compatSetting w:name="compatibilityMode" w:uri="http://schemas.microsoft.com/office/word" w:val="12"/>
    <w:compatSetting w:name="useWord2013TrackBottomHyphenation" w:uri="http://schemas.microsoft.com/office/word" w:val="1"/>
  </w:compat>
  <w:rsids>
    <w:rsidRoot w:val="007F4B1D"/>
    <w:rsid w:val="007F4B1D"/>
    <w:rsid w:val="00A2096C"/>
    <w:rsid w:val="00F06704"/>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961E6"/>
  <w15:docId w15:val="{5FBBB137-9FAD-4608-B5A3-B7E179CA5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2"/>
        <w:szCs w:val="22"/>
        <w:lang w:val="en-GB" w:eastAsia="en-GB"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433F"/>
    <w:rPr>
      <w:sz w:val="24"/>
      <w:szCs w:val="24"/>
      <w:lang w:eastAsia="en-US"/>
    </w:rPr>
  </w:style>
  <w:style w:type="paragraph" w:styleId="Heading1">
    <w:name w:val="heading 1"/>
    <w:basedOn w:val="normal1"/>
    <w:next w:val="normal1"/>
    <w:link w:val="Heading1Char"/>
    <w:uiPriority w:val="99"/>
    <w:qFormat/>
    <w:rsid w:val="0050433F"/>
    <w:pPr>
      <w:keepNext/>
      <w:spacing w:before="240" w:after="120"/>
      <w:ind w:left="432" w:hanging="432"/>
      <w:outlineLvl w:val="0"/>
    </w:pPr>
    <w:rPr>
      <w:b/>
      <w:sz w:val="48"/>
      <w:szCs w:val="48"/>
    </w:rPr>
  </w:style>
  <w:style w:type="paragraph" w:styleId="Heading2">
    <w:name w:val="heading 2"/>
    <w:basedOn w:val="normal1"/>
    <w:next w:val="normal1"/>
    <w:link w:val="Heading2Char"/>
    <w:uiPriority w:val="99"/>
    <w:qFormat/>
    <w:rsid w:val="0050433F"/>
    <w:pPr>
      <w:keepNext/>
      <w:spacing w:before="200" w:after="120"/>
      <w:ind w:left="576" w:hanging="576"/>
      <w:outlineLvl w:val="1"/>
    </w:pPr>
    <w:rPr>
      <w:b/>
      <w:sz w:val="36"/>
      <w:szCs w:val="36"/>
    </w:rPr>
  </w:style>
  <w:style w:type="paragraph" w:styleId="Heading3">
    <w:name w:val="heading 3"/>
    <w:basedOn w:val="normal1"/>
    <w:next w:val="normal1"/>
    <w:link w:val="Heading3Char"/>
    <w:uiPriority w:val="99"/>
    <w:qFormat/>
    <w:rsid w:val="0050433F"/>
    <w:pPr>
      <w:keepNext/>
      <w:keepLines/>
      <w:spacing w:before="280" w:after="80"/>
      <w:outlineLvl w:val="2"/>
    </w:pPr>
    <w:rPr>
      <w:b/>
      <w:sz w:val="28"/>
      <w:szCs w:val="28"/>
    </w:rPr>
  </w:style>
  <w:style w:type="paragraph" w:styleId="Heading4">
    <w:name w:val="heading 4"/>
    <w:basedOn w:val="normal1"/>
    <w:next w:val="normal1"/>
    <w:link w:val="Heading4Char"/>
    <w:uiPriority w:val="99"/>
    <w:qFormat/>
    <w:rsid w:val="0050433F"/>
    <w:pPr>
      <w:keepNext/>
      <w:keepLines/>
      <w:spacing w:before="240" w:after="40"/>
      <w:outlineLvl w:val="3"/>
    </w:pPr>
    <w:rPr>
      <w:b/>
    </w:rPr>
  </w:style>
  <w:style w:type="paragraph" w:styleId="Heading5">
    <w:name w:val="heading 5"/>
    <w:basedOn w:val="normal1"/>
    <w:next w:val="normal1"/>
    <w:link w:val="Heading5Char"/>
    <w:uiPriority w:val="99"/>
    <w:qFormat/>
    <w:rsid w:val="0050433F"/>
    <w:pPr>
      <w:keepNext/>
      <w:keepLines/>
      <w:spacing w:before="220" w:after="40"/>
      <w:outlineLvl w:val="4"/>
    </w:pPr>
    <w:rPr>
      <w:b/>
      <w:sz w:val="22"/>
      <w:szCs w:val="22"/>
    </w:rPr>
  </w:style>
  <w:style w:type="paragraph" w:styleId="Heading6">
    <w:name w:val="heading 6"/>
    <w:basedOn w:val="normal1"/>
    <w:next w:val="normal1"/>
    <w:link w:val="Heading6Char"/>
    <w:uiPriority w:val="99"/>
    <w:qFormat/>
    <w:rsid w:val="0050433F"/>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qFormat/>
    <w:locked/>
    <w:rsid w:val="00BD585B"/>
    <w:rPr>
      <w:rFonts w:ascii="Cambria" w:hAnsi="Cambria" w:cs="Times New Roman"/>
      <w:b/>
      <w:bCs/>
      <w:kern w:val="2"/>
      <w:sz w:val="32"/>
      <w:szCs w:val="32"/>
      <w:lang w:eastAsia="en-US"/>
    </w:rPr>
  </w:style>
  <w:style w:type="character" w:customStyle="1" w:styleId="Heading2Char">
    <w:name w:val="Heading 2 Char"/>
    <w:basedOn w:val="DefaultParagraphFont"/>
    <w:link w:val="Heading2"/>
    <w:uiPriority w:val="99"/>
    <w:semiHidden/>
    <w:qFormat/>
    <w:locked/>
    <w:rsid w:val="00BD585B"/>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qFormat/>
    <w:locked/>
    <w:rsid w:val="00BD585B"/>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qFormat/>
    <w:locked/>
    <w:rsid w:val="00BD585B"/>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semiHidden/>
    <w:qFormat/>
    <w:locked/>
    <w:rsid w:val="00BD585B"/>
    <w:rPr>
      <w:rFonts w:ascii="Calibri" w:hAnsi="Calibri" w:cs="Times New Roman"/>
      <w:b/>
      <w:bCs/>
      <w:i/>
      <w:iCs/>
      <w:sz w:val="26"/>
      <w:szCs w:val="26"/>
      <w:lang w:eastAsia="en-US"/>
    </w:rPr>
  </w:style>
  <w:style w:type="character" w:customStyle="1" w:styleId="Heading6Char">
    <w:name w:val="Heading 6 Char"/>
    <w:basedOn w:val="DefaultParagraphFont"/>
    <w:link w:val="Heading6"/>
    <w:uiPriority w:val="99"/>
    <w:semiHidden/>
    <w:qFormat/>
    <w:locked/>
    <w:rsid w:val="00BD585B"/>
    <w:rPr>
      <w:rFonts w:ascii="Calibri" w:hAnsi="Calibri" w:cs="Times New Roman"/>
      <w:b/>
      <w:bCs/>
      <w:lang w:eastAsia="en-US"/>
    </w:rPr>
  </w:style>
  <w:style w:type="character" w:customStyle="1" w:styleId="TitleChar">
    <w:name w:val="Title Char"/>
    <w:basedOn w:val="DefaultParagraphFont"/>
    <w:link w:val="Title"/>
    <w:uiPriority w:val="99"/>
    <w:qFormat/>
    <w:locked/>
    <w:rsid w:val="00BD585B"/>
    <w:rPr>
      <w:rFonts w:ascii="Cambria" w:hAnsi="Cambria" w:cs="Times New Roman"/>
      <w:b/>
      <w:bCs/>
      <w:kern w:val="2"/>
      <w:sz w:val="32"/>
      <w:szCs w:val="32"/>
      <w:lang w:eastAsia="en-US"/>
    </w:rPr>
  </w:style>
  <w:style w:type="character" w:customStyle="1" w:styleId="SubtitleChar">
    <w:name w:val="Subtitle Char"/>
    <w:basedOn w:val="DefaultParagraphFont"/>
    <w:link w:val="Subtitle"/>
    <w:uiPriority w:val="99"/>
    <w:qFormat/>
    <w:locked/>
    <w:rsid w:val="00BD585B"/>
    <w:rPr>
      <w:rFonts w:ascii="Cambria" w:hAnsi="Cambria" w:cs="Times New Roman"/>
      <w:sz w:val="24"/>
      <w:szCs w:val="24"/>
      <w:lang w:eastAsia="en-US"/>
    </w:rPr>
  </w:style>
  <w:style w:type="character" w:customStyle="1" w:styleId="BalloonTextChar">
    <w:name w:val="Balloon Text Char"/>
    <w:basedOn w:val="DefaultParagraphFont"/>
    <w:link w:val="BalloonText"/>
    <w:uiPriority w:val="99"/>
    <w:semiHidden/>
    <w:qFormat/>
    <w:locked/>
    <w:rsid w:val="00FD709F"/>
    <w:rPr>
      <w:rFonts w:ascii="Lucida Grande" w:hAnsi="Lucida Grande" w:cs="Lucida Grande"/>
      <w:sz w:val="18"/>
      <w:szCs w:val="18"/>
    </w:rPr>
  </w:style>
  <w:style w:type="character" w:styleId="CommentReference">
    <w:name w:val="annotation reference"/>
    <w:basedOn w:val="DefaultParagraphFont"/>
    <w:uiPriority w:val="99"/>
    <w:semiHidden/>
    <w:qFormat/>
    <w:rsid w:val="00FD709F"/>
    <w:rPr>
      <w:rFonts w:cs="Times New Roman"/>
      <w:sz w:val="18"/>
      <w:szCs w:val="18"/>
    </w:rPr>
  </w:style>
  <w:style w:type="character" w:customStyle="1" w:styleId="CommentTextChar">
    <w:name w:val="Comment Text Char"/>
    <w:basedOn w:val="DefaultParagraphFont"/>
    <w:link w:val="CommentText"/>
    <w:uiPriority w:val="99"/>
    <w:semiHidden/>
    <w:qFormat/>
    <w:locked/>
    <w:rsid w:val="00FD709F"/>
    <w:rPr>
      <w:rFonts w:cs="Times New Roman"/>
    </w:rPr>
  </w:style>
  <w:style w:type="character" w:customStyle="1" w:styleId="CommentSubjectChar">
    <w:name w:val="Comment Subject Char"/>
    <w:basedOn w:val="CommentTextChar"/>
    <w:link w:val="CommentSubject"/>
    <w:uiPriority w:val="99"/>
    <w:semiHidden/>
    <w:qFormat/>
    <w:locked/>
    <w:rsid w:val="00FD709F"/>
    <w:rPr>
      <w:rFonts w:cs="Times New Roman"/>
      <w:b/>
      <w:bCs/>
      <w:sz w:val="20"/>
      <w:szCs w:val="20"/>
    </w:rPr>
  </w:style>
  <w:style w:type="character" w:styleId="Hyperlink">
    <w:name w:val="Hyperlink"/>
    <w:rPr>
      <w:color w:val="000080"/>
      <w:u w:val="single"/>
    </w:rPr>
  </w:style>
  <w:style w:type="character" w:customStyle="1" w:styleId="FootnoteCharacters">
    <w:name w:val="Footnote Characters"/>
    <w:qFormat/>
  </w:style>
  <w:style w:type="character" w:styleId="FootnoteReference">
    <w:name w:val="footnote reference"/>
    <w:rPr>
      <w:vertAlign w:val="superscript"/>
    </w:rPr>
  </w:style>
  <w:style w:type="character" w:styleId="LineNumber">
    <w:name w:val="line number"/>
  </w:style>
  <w:style w:type="paragraph" w:customStyle="1" w:styleId="Heading">
    <w:name w:val="Heading"/>
    <w:basedOn w:val="Normal"/>
    <w:next w:val="BodyText"/>
    <w:qFormat/>
    <w:pPr>
      <w:keepNext/>
      <w:spacing w:before="240" w:after="120"/>
    </w:pPr>
    <w:rPr>
      <w:rFonts w:ascii="Liberation Sans" w:eastAsia="Noto Sans CJK SC" w:hAnsi="Liberation Sans" w:cs="Noto Sans Devanagari"/>
      <w:sz w:val="28"/>
      <w:szCs w:val="28"/>
    </w:rPr>
  </w:style>
  <w:style w:type="paragraph" w:styleId="BodyText">
    <w:name w:val="Body Text"/>
    <w:basedOn w:val="Normal"/>
    <w:pPr>
      <w:spacing w:after="140" w:line="276" w:lineRule="auto"/>
    </w:pPr>
  </w:style>
  <w:style w:type="paragraph" w:styleId="List">
    <w:name w:val="List"/>
    <w:basedOn w:val="BodyText"/>
    <w:rPr>
      <w:rFonts w:cs="Noto Sans Devanagari"/>
    </w:rPr>
  </w:style>
  <w:style w:type="paragraph" w:styleId="Caption">
    <w:name w:val="caption"/>
    <w:basedOn w:val="Normal"/>
    <w:qFormat/>
    <w:pPr>
      <w:suppressLineNumbers/>
      <w:spacing w:before="120" w:after="120"/>
    </w:pPr>
    <w:rPr>
      <w:rFonts w:cs="Noto Sans Devanagari"/>
      <w:i/>
      <w:iCs/>
    </w:rPr>
  </w:style>
  <w:style w:type="paragraph" w:customStyle="1" w:styleId="Index">
    <w:name w:val="Index"/>
    <w:basedOn w:val="Normal"/>
    <w:qFormat/>
    <w:pPr>
      <w:suppressLineNumbers/>
    </w:pPr>
    <w:rPr>
      <w:rFonts w:cs="Noto Sans Devanagari"/>
    </w:rPr>
  </w:style>
  <w:style w:type="paragraph" w:customStyle="1" w:styleId="normal1">
    <w:name w:val="normal1"/>
    <w:uiPriority w:val="99"/>
    <w:qFormat/>
    <w:rsid w:val="0050433F"/>
    <w:rPr>
      <w:sz w:val="24"/>
      <w:szCs w:val="24"/>
      <w:lang w:eastAsia="en-US"/>
    </w:rPr>
  </w:style>
  <w:style w:type="paragraph" w:styleId="Title">
    <w:name w:val="Title"/>
    <w:basedOn w:val="normal1"/>
    <w:next w:val="normal1"/>
    <w:link w:val="TitleChar"/>
    <w:uiPriority w:val="99"/>
    <w:qFormat/>
    <w:rsid w:val="0050433F"/>
    <w:pPr>
      <w:keepNext/>
      <w:keepLines/>
      <w:spacing w:before="480" w:after="120"/>
    </w:pPr>
    <w:rPr>
      <w:b/>
      <w:sz w:val="72"/>
      <w:szCs w:val="72"/>
    </w:rPr>
  </w:style>
  <w:style w:type="paragraph" w:styleId="Subtitle">
    <w:name w:val="Subtitle"/>
    <w:basedOn w:val="normal1"/>
    <w:next w:val="normal1"/>
    <w:link w:val="SubtitleChar"/>
    <w:uiPriority w:val="99"/>
    <w:qFormat/>
    <w:rsid w:val="0050433F"/>
    <w:pPr>
      <w:keepNext/>
      <w:keepLines/>
      <w:spacing w:before="360" w:after="80"/>
    </w:pPr>
    <w:rPr>
      <w:rFonts w:ascii="Georgia" w:hAnsi="Georgia" w:cs="Georgia"/>
      <w:i/>
      <w:color w:val="666666"/>
      <w:sz w:val="48"/>
      <w:szCs w:val="48"/>
    </w:rPr>
  </w:style>
  <w:style w:type="paragraph" w:styleId="BalloonText">
    <w:name w:val="Balloon Text"/>
    <w:basedOn w:val="Normal"/>
    <w:link w:val="BalloonTextChar"/>
    <w:uiPriority w:val="99"/>
    <w:semiHidden/>
    <w:qFormat/>
    <w:rsid w:val="00FD709F"/>
    <w:rPr>
      <w:rFonts w:ascii="Lucida Grande" w:hAnsi="Lucida Grande" w:cs="Lucida Grande"/>
      <w:sz w:val="18"/>
      <w:szCs w:val="18"/>
    </w:rPr>
  </w:style>
  <w:style w:type="paragraph" w:styleId="CommentText">
    <w:name w:val="annotation text"/>
    <w:basedOn w:val="Normal"/>
    <w:link w:val="CommentTextChar"/>
    <w:uiPriority w:val="99"/>
    <w:semiHidden/>
    <w:rsid w:val="00FD709F"/>
  </w:style>
  <w:style w:type="paragraph" w:styleId="CommentSubject">
    <w:name w:val="annotation subject"/>
    <w:basedOn w:val="CommentText"/>
    <w:next w:val="CommentText"/>
    <w:link w:val="CommentSubjectChar"/>
    <w:uiPriority w:val="99"/>
    <w:semiHidden/>
    <w:qFormat/>
    <w:rsid w:val="00FD709F"/>
    <w:rPr>
      <w:b/>
      <w:bCs/>
      <w:sz w:val="20"/>
      <w:szCs w:val="20"/>
    </w:rPr>
  </w:style>
  <w:style w:type="paragraph" w:styleId="FootnoteText">
    <w:name w:val="footnote text"/>
    <w:basedOn w:val="Normal"/>
  </w:style>
  <w:style w:type="paragraph" w:styleId="Revision">
    <w:name w:val="Revision"/>
    <w:hidden/>
    <w:uiPriority w:val="99"/>
    <w:semiHidden/>
    <w:rsid w:val="00A2096C"/>
    <w:pPr>
      <w:suppressAutoHyphens w:val="0"/>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v2.nl/publishing/information-is-alive"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145</TotalTime>
  <Pages>12</Pages>
  <Words>3847</Words>
  <Characters>21929</Characters>
  <Application>Microsoft Office Word</Application>
  <DocSecurity>0</DocSecurity>
  <Lines>182</Lines>
  <Paragraphs>51</Paragraphs>
  <ScaleCrop>false</ScaleCrop>
  <Company/>
  <LinksUpToDate>false</LinksUpToDate>
  <CharactersWithSpaces>25725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build</dc:creator>
  <dc:description/>
  <cp:lastModifiedBy>Marina Hart</cp:lastModifiedBy>
  <cp:revision>6</cp:revision>
  <dcterms:created xsi:type="dcterms:W3CDTF">2019-05-09T22:56:00Z</dcterms:created>
  <dcterms:modified xsi:type="dcterms:W3CDTF">2026-05-05T01:50:00Z</dcterms:modified>
  <dc:language>en-AU</dc:language>
</cp:coreProperties>
</file>